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84EC5">
      <w:pPr>
        <w:pStyle w:val="2"/>
        <w:spacing w:before="0" w:after="0"/>
        <w:rPr>
          <w:rFonts w:hint="eastAsia" w:ascii="宋体" w:hAnsi="宋体" w:eastAsia="宋体" w:cs="Times New Roman"/>
          <w:b/>
          <w:bCs/>
          <w:color w:val="000000"/>
          <w:sz w:val="28"/>
          <w:szCs w:val="28"/>
          <w:highlight w:val="none"/>
        </w:rPr>
      </w:pPr>
      <w:bookmarkStart w:id="0" w:name="_Toc21259"/>
      <w:bookmarkStart w:id="1" w:name="_Toc20045"/>
      <w:r>
        <w:rPr>
          <w:rFonts w:hint="eastAsia" w:ascii="宋体" w:hAnsi="宋体" w:eastAsia="宋体" w:cs="Times New Roman"/>
          <w:b/>
          <w:bCs/>
          <w:color w:val="000000"/>
          <w:sz w:val="28"/>
          <w:szCs w:val="28"/>
          <w:highlight w:val="none"/>
        </w:rPr>
        <w:t>一、标的清单</w:t>
      </w:r>
      <w:bookmarkEnd w:id="0"/>
      <w:bookmarkEnd w:id="1"/>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4081"/>
        <w:gridCol w:w="1073"/>
        <w:gridCol w:w="1073"/>
        <w:gridCol w:w="1952"/>
      </w:tblGrid>
      <w:tr w14:paraId="4E47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017" w:type="dxa"/>
            <w:noWrap w:val="0"/>
            <w:vAlign w:val="center"/>
          </w:tcPr>
          <w:p w14:paraId="0D8673A4">
            <w:pPr>
              <w:jc w:val="center"/>
              <w:rPr>
                <w:rFonts w:hint="eastAsia" w:ascii="宋体" w:hAnsi="宋体" w:cs="宋体"/>
                <w:b/>
                <w:kern w:val="0"/>
                <w:sz w:val="24"/>
              </w:rPr>
            </w:pPr>
            <w:r>
              <w:rPr>
                <w:rFonts w:hint="eastAsia" w:ascii="宋体" w:hAnsi="宋体" w:cs="宋体"/>
                <w:b/>
                <w:kern w:val="0"/>
                <w:sz w:val="24"/>
              </w:rPr>
              <w:t>序号</w:t>
            </w:r>
          </w:p>
        </w:tc>
        <w:tc>
          <w:tcPr>
            <w:tcW w:w="4081" w:type="dxa"/>
            <w:noWrap w:val="0"/>
            <w:vAlign w:val="center"/>
          </w:tcPr>
          <w:p w14:paraId="2B9D3E18">
            <w:pPr>
              <w:jc w:val="center"/>
              <w:rPr>
                <w:rFonts w:hint="eastAsia" w:ascii="宋体" w:hAnsi="宋体" w:cs="宋体"/>
                <w:b/>
                <w:kern w:val="0"/>
                <w:sz w:val="24"/>
              </w:rPr>
            </w:pPr>
            <w:r>
              <w:rPr>
                <w:rFonts w:hint="eastAsia" w:ascii="宋体" w:hAnsi="宋体" w:cs="宋体"/>
                <w:b/>
                <w:kern w:val="0"/>
                <w:sz w:val="24"/>
              </w:rPr>
              <w:t>设备名称</w:t>
            </w:r>
          </w:p>
        </w:tc>
        <w:tc>
          <w:tcPr>
            <w:tcW w:w="1073" w:type="dxa"/>
            <w:noWrap w:val="0"/>
            <w:vAlign w:val="center"/>
          </w:tcPr>
          <w:p w14:paraId="3A592FC0">
            <w:pPr>
              <w:jc w:val="center"/>
              <w:rPr>
                <w:rFonts w:hint="eastAsia" w:ascii="宋体" w:hAnsi="宋体" w:cs="宋体"/>
                <w:b/>
                <w:kern w:val="0"/>
                <w:sz w:val="24"/>
              </w:rPr>
            </w:pPr>
            <w:r>
              <w:rPr>
                <w:rFonts w:hint="eastAsia" w:ascii="宋体" w:hAnsi="宋体" w:cs="宋体"/>
                <w:b/>
                <w:kern w:val="0"/>
                <w:sz w:val="24"/>
              </w:rPr>
              <w:t>数量</w:t>
            </w:r>
          </w:p>
        </w:tc>
        <w:tc>
          <w:tcPr>
            <w:tcW w:w="1073" w:type="dxa"/>
            <w:noWrap w:val="0"/>
            <w:vAlign w:val="center"/>
          </w:tcPr>
          <w:p w14:paraId="0B0C7355">
            <w:pPr>
              <w:jc w:val="center"/>
              <w:rPr>
                <w:rFonts w:ascii="宋体" w:hAnsi="宋体" w:cs="宋体"/>
                <w:b/>
                <w:kern w:val="0"/>
                <w:sz w:val="24"/>
              </w:rPr>
            </w:pPr>
            <w:r>
              <w:rPr>
                <w:rFonts w:hint="eastAsia" w:ascii="宋体" w:hAnsi="宋体" w:cs="宋体"/>
                <w:b/>
                <w:kern w:val="0"/>
                <w:sz w:val="24"/>
              </w:rPr>
              <w:t>单位</w:t>
            </w:r>
          </w:p>
        </w:tc>
        <w:tc>
          <w:tcPr>
            <w:tcW w:w="1952" w:type="dxa"/>
            <w:noWrap w:val="0"/>
            <w:vAlign w:val="center"/>
          </w:tcPr>
          <w:p w14:paraId="4747C2AB">
            <w:pPr>
              <w:jc w:val="center"/>
              <w:rPr>
                <w:rFonts w:hint="eastAsia" w:ascii="宋体" w:hAnsi="宋体" w:cs="宋体"/>
                <w:b/>
                <w:kern w:val="0"/>
                <w:sz w:val="24"/>
              </w:rPr>
            </w:pPr>
            <w:r>
              <w:rPr>
                <w:rFonts w:hint="eastAsia" w:ascii="宋体" w:hAnsi="宋体" w:cs="宋体"/>
                <w:b/>
                <w:kern w:val="0"/>
                <w:sz w:val="24"/>
              </w:rPr>
              <w:t>备注</w:t>
            </w:r>
          </w:p>
        </w:tc>
      </w:tr>
      <w:tr w14:paraId="0822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17" w:type="dxa"/>
            <w:noWrap w:val="0"/>
            <w:vAlign w:val="center"/>
          </w:tcPr>
          <w:p w14:paraId="253D4473">
            <w:pPr>
              <w:spacing w:line="440" w:lineRule="exact"/>
              <w:jc w:val="center"/>
              <w:rPr>
                <w:rFonts w:hint="eastAsia" w:ascii="宋体" w:hAnsi="宋体" w:cs="宋体"/>
                <w:sz w:val="24"/>
                <w:szCs w:val="24"/>
              </w:rPr>
            </w:pPr>
            <w:r>
              <w:rPr>
                <w:rFonts w:hint="eastAsia" w:ascii="宋体" w:hAnsi="宋体" w:cs="宋体"/>
                <w:sz w:val="24"/>
                <w:szCs w:val="24"/>
              </w:rPr>
              <w:t>1</w:t>
            </w:r>
          </w:p>
        </w:tc>
        <w:tc>
          <w:tcPr>
            <w:tcW w:w="4081" w:type="dxa"/>
            <w:noWrap w:val="0"/>
            <w:vAlign w:val="center"/>
          </w:tcPr>
          <w:p w14:paraId="4D01A721">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cs="宋体"/>
                <w:bCs/>
                <w:kern w:val="0"/>
                <w:sz w:val="24"/>
              </w:rPr>
            </w:pPr>
            <w:r>
              <w:rPr>
                <w:rFonts w:hint="eastAsia" w:ascii="宋体" w:hAnsi="宋体" w:eastAsia="宋体" w:cs="宋体"/>
                <w:sz w:val="24"/>
                <w:szCs w:val="24"/>
              </w:rPr>
              <w:t>应急管理平台软件</w:t>
            </w:r>
          </w:p>
        </w:tc>
        <w:tc>
          <w:tcPr>
            <w:tcW w:w="1073" w:type="dxa"/>
            <w:noWrap w:val="0"/>
            <w:vAlign w:val="top"/>
          </w:tcPr>
          <w:p w14:paraId="3BDEF03C">
            <w:pPr>
              <w:spacing w:line="440" w:lineRule="exact"/>
              <w:jc w:val="center"/>
              <w:rPr>
                <w:rFonts w:hint="eastAsia" w:ascii="宋体" w:hAnsi="宋体" w:eastAsia="宋体" w:cs="宋体"/>
                <w:sz w:val="24"/>
                <w:lang w:val="en-US" w:eastAsia="zh-CN"/>
              </w:rPr>
            </w:pPr>
            <w:r>
              <w:rPr>
                <w:rFonts w:hint="eastAsia" w:ascii="宋体" w:hAnsi="宋体" w:cs="宋体"/>
                <w:sz w:val="24"/>
                <w:lang w:val="en-US" w:eastAsia="zh-CN"/>
              </w:rPr>
              <w:t>1</w:t>
            </w:r>
          </w:p>
        </w:tc>
        <w:tc>
          <w:tcPr>
            <w:tcW w:w="1073" w:type="dxa"/>
            <w:noWrap w:val="0"/>
            <w:vAlign w:val="top"/>
          </w:tcPr>
          <w:p w14:paraId="0E977140">
            <w:pPr>
              <w:spacing w:line="440" w:lineRule="exact"/>
              <w:jc w:val="center"/>
              <w:rPr>
                <w:rFonts w:hint="eastAsia" w:ascii="宋体" w:hAnsi="宋体" w:eastAsia="宋体" w:cs="宋体"/>
                <w:sz w:val="24"/>
                <w:lang w:eastAsia="zh-CN"/>
              </w:rPr>
            </w:pPr>
            <w:r>
              <w:rPr>
                <w:rFonts w:hint="eastAsia" w:ascii="宋体" w:hAnsi="宋体" w:cs="宋体"/>
                <w:sz w:val="24"/>
                <w:lang w:eastAsia="zh-CN"/>
              </w:rPr>
              <w:t>项</w:t>
            </w:r>
          </w:p>
        </w:tc>
        <w:tc>
          <w:tcPr>
            <w:tcW w:w="1952" w:type="dxa"/>
            <w:noWrap w:val="0"/>
            <w:vAlign w:val="center"/>
          </w:tcPr>
          <w:p w14:paraId="2A7E4D36">
            <w:pPr>
              <w:spacing w:line="440" w:lineRule="exact"/>
              <w:jc w:val="center"/>
              <w:rPr>
                <w:rFonts w:ascii="宋体" w:hAnsi="宋体" w:cs="宋体"/>
                <w:sz w:val="24"/>
              </w:rPr>
            </w:pPr>
          </w:p>
        </w:tc>
      </w:tr>
      <w:tr w14:paraId="1376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17" w:type="dxa"/>
            <w:noWrap w:val="0"/>
            <w:vAlign w:val="center"/>
          </w:tcPr>
          <w:p w14:paraId="392FED0F">
            <w:pPr>
              <w:spacing w:line="440" w:lineRule="exact"/>
              <w:jc w:val="center"/>
              <w:rPr>
                <w:rFonts w:hint="eastAsia" w:ascii="宋体" w:hAnsi="宋体" w:cs="宋体"/>
                <w:sz w:val="24"/>
                <w:szCs w:val="24"/>
              </w:rPr>
            </w:pPr>
            <w:r>
              <w:rPr>
                <w:rFonts w:hint="eastAsia" w:ascii="宋体" w:hAnsi="宋体" w:cs="宋体"/>
                <w:sz w:val="24"/>
                <w:szCs w:val="24"/>
              </w:rPr>
              <w:t>2</w:t>
            </w:r>
          </w:p>
        </w:tc>
        <w:tc>
          <w:tcPr>
            <w:tcW w:w="4081" w:type="dxa"/>
            <w:noWrap w:val="0"/>
            <w:vAlign w:val="center"/>
          </w:tcPr>
          <w:p w14:paraId="19459ED9">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cs="宋体"/>
                <w:bCs/>
                <w:kern w:val="0"/>
                <w:sz w:val="24"/>
              </w:rPr>
            </w:pPr>
            <w:r>
              <w:rPr>
                <w:rFonts w:hint="eastAsia" w:ascii="宋体" w:hAnsi="宋体" w:eastAsia="宋体" w:cs="宋体"/>
                <w:sz w:val="24"/>
                <w:szCs w:val="24"/>
              </w:rPr>
              <w:t>人工应急服务</w:t>
            </w:r>
          </w:p>
        </w:tc>
        <w:tc>
          <w:tcPr>
            <w:tcW w:w="1073" w:type="dxa"/>
            <w:noWrap w:val="0"/>
            <w:vAlign w:val="top"/>
          </w:tcPr>
          <w:p w14:paraId="741A17B1">
            <w:pPr>
              <w:spacing w:line="440" w:lineRule="exact"/>
              <w:jc w:val="center"/>
              <w:rPr>
                <w:rFonts w:hint="eastAsia" w:ascii="宋体" w:hAnsi="宋体" w:eastAsia="宋体" w:cs="宋体"/>
                <w:kern w:val="2"/>
                <w:sz w:val="24"/>
                <w:szCs w:val="21"/>
                <w:lang w:val="en-US" w:eastAsia="zh-CN" w:bidi="ar-SA"/>
              </w:rPr>
            </w:pPr>
            <w:r>
              <w:rPr>
                <w:rFonts w:hint="eastAsia" w:ascii="宋体" w:hAnsi="宋体" w:cs="宋体"/>
                <w:sz w:val="24"/>
                <w:lang w:val="en-US" w:eastAsia="zh-CN"/>
              </w:rPr>
              <w:t>1</w:t>
            </w:r>
          </w:p>
        </w:tc>
        <w:tc>
          <w:tcPr>
            <w:tcW w:w="1073" w:type="dxa"/>
            <w:noWrap w:val="0"/>
            <w:vAlign w:val="top"/>
          </w:tcPr>
          <w:p w14:paraId="4CA65DB0">
            <w:pPr>
              <w:spacing w:line="440" w:lineRule="exact"/>
              <w:jc w:val="center"/>
              <w:rPr>
                <w:rFonts w:hint="eastAsia" w:ascii="宋体" w:hAnsi="宋体" w:eastAsia="宋体" w:cs="宋体"/>
                <w:kern w:val="2"/>
                <w:sz w:val="24"/>
                <w:szCs w:val="21"/>
                <w:lang w:val="en-US" w:eastAsia="zh-CN" w:bidi="ar-SA"/>
              </w:rPr>
            </w:pPr>
            <w:r>
              <w:rPr>
                <w:rFonts w:hint="eastAsia" w:ascii="宋体" w:hAnsi="宋体" w:cs="宋体"/>
                <w:sz w:val="24"/>
                <w:lang w:eastAsia="zh-CN"/>
              </w:rPr>
              <w:t>项</w:t>
            </w:r>
          </w:p>
        </w:tc>
        <w:tc>
          <w:tcPr>
            <w:tcW w:w="1952" w:type="dxa"/>
            <w:noWrap w:val="0"/>
            <w:vAlign w:val="center"/>
          </w:tcPr>
          <w:p w14:paraId="3A1932D1">
            <w:pPr>
              <w:spacing w:line="440" w:lineRule="exact"/>
              <w:jc w:val="center"/>
              <w:rPr>
                <w:rFonts w:ascii="宋体" w:hAnsi="宋体" w:cs="宋体"/>
                <w:sz w:val="24"/>
              </w:rPr>
            </w:pPr>
          </w:p>
        </w:tc>
      </w:tr>
    </w:tbl>
    <w:p w14:paraId="61E0A511">
      <w:pPr>
        <w:pStyle w:val="2"/>
        <w:spacing w:before="0" w:after="0"/>
        <w:rPr>
          <w:rFonts w:hint="eastAsia" w:ascii="宋体" w:hAnsi="宋体"/>
          <w:color w:val="000000"/>
          <w:sz w:val="28"/>
          <w:szCs w:val="28"/>
          <w:highlight w:val="none"/>
        </w:rPr>
      </w:pPr>
      <w:bookmarkStart w:id="2" w:name="_Toc22640"/>
      <w:bookmarkStart w:id="3" w:name="_Toc14693"/>
      <w:r>
        <w:rPr>
          <w:rFonts w:hint="eastAsia" w:ascii="宋体" w:hAnsi="宋体"/>
          <w:color w:val="000000"/>
          <w:sz w:val="28"/>
          <w:szCs w:val="28"/>
          <w:highlight w:val="none"/>
          <w:lang w:eastAsia="zh-CN"/>
        </w:rPr>
        <w:t>二</w:t>
      </w:r>
      <w:r>
        <w:rPr>
          <w:rFonts w:hint="eastAsia" w:ascii="宋体" w:hAnsi="宋体"/>
          <w:color w:val="000000"/>
          <w:sz w:val="28"/>
          <w:szCs w:val="28"/>
          <w:highlight w:val="none"/>
        </w:rPr>
        <w:t>、技术要求</w:t>
      </w:r>
      <w:bookmarkEnd w:id="2"/>
      <w:bookmarkEnd w:id="3"/>
    </w:p>
    <w:p w14:paraId="0DAFBA58">
      <w:pPr>
        <w:rPr>
          <w:highlight w:val="none"/>
        </w:rPr>
      </w:pPr>
    </w:p>
    <w:p w14:paraId="2314CBF2">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（一）项目概况</w:t>
      </w:r>
    </w:p>
    <w:p w14:paraId="65074039">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本项目为江铃汽车集团财务有限公司应急管理平台软件及人工服务，包括运维设备的日常维护、故障配件更换、巡检以及系统升级等维护服务，确保运维设备的正常运行。</w:t>
      </w:r>
    </w:p>
    <w:p w14:paraId="5DF61D98">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技术服务</w:t>
      </w:r>
      <w:r>
        <w:rPr>
          <w:rFonts w:hint="eastAsia" w:ascii="宋体" w:hAnsi="宋体" w:eastAsia="宋体" w:cs="宋体"/>
          <w:b/>
          <w:bCs/>
          <w:sz w:val="24"/>
          <w:szCs w:val="24"/>
        </w:rPr>
        <w:t>要求</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047"/>
        <w:gridCol w:w="7568"/>
      </w:tblGrid>
      <w:tr w14:paraId="5807A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87" w:type="dxa"/>
            <w:vMerge w:val="restart"/>
            <w:noWrap w:val="0"/>
            <w:vAlign w:val="center"/>
          </w:tcPr>
          <w:p w14:paraId="4784D3EC">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管理平台</w:t>
            </w:r>
          </w:p>
        </w:tc>
        <w:tc>
          <w:tcPr>
            <w:tcW w:w="1047" w:type="dxa"/>
            <w:vMerge w:val="restart"/>
            <w:noWrap w:val="0"/>
            <w:vAlign w:val="center"/>
          </w:tcPr>
          <w:p w14:paraId="4D1315B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平台架构</w:t>
            </w:r>
          </w:p>
        </w:tc>
        <w:tc>
          <w:tcPr>
            <w:tcW w:w="7568" w:type="dxa"/>
            <w:noWrap w:val="0"/>
            <w:vAlign w:val="center"/>
          </w:tcPr>
          <w:p w14:paraId="0A67679F">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支持all-in-one的灾备平台部署和灾备平台横向和纵向的弹性扩展。</w:t>
            </w:r>
          </w:p>
        </w:tc>
      </w:tr>
      <w:tr w14:paraId="2B58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587" w:type="dxa"/>
            <w:vMerge w:val="continue"/>
            <w:noWrap w:val="0"/>
            <w:vAlign w:val="center"/>
          </w:tcPr>
          <w:p w14:paraId="1F867E3E">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1047" w:type="dxa"/>
            <w:vMerge w:val="continue"/>
            <w:noWrap w:val="0"/>
            <w:vAlign w:val="center"/>
          </w:tcPr>
          <w:p w14:paraId="554C4D2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4"/>
                <w:szCs w:val="24"/>
              </w:rPr>
            </w:pPr>
          </w:p>
        </w:tc>
        <w:tc>
          <w:tcPr>
            <w:tcW w:w="7568" w:type="dxa"/>
            <w:noWrap w:val="0"/>
            <w:vAlign w:val="center"/>
          </w:tcPr>
          <w:p w14:paraId="76C62418">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支持租户级别的资源隔离和区域划分，满足多租户数据隔离和节点、网络隔离的需求</w:t>
            </w:r>
            <w:r>
              <w:rPr>
                <w:rFonts w:hint="eastAsia" w:ascii="宋体" w:hAnsi="宋体" w:eastAsia="宋体" w:cs="宋体"/>
                <w:sz w:val="24"/>
                <w:szCs w:val="24"/>
                <w:lang w:eastAsia="zh-CN"/>
              </w:rPr>
              <w:t>。</w:t>
            </w:r>
          </w:p>
        </w:tc>
      </w:tr>
      <w:tr w14:paraId="51DA9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87" w:type="dxa"/>
            <w:vMerge w:val="continue"/>
            <w:noWrap w:val="0"/>
            <w:vAlign w:val="center"/>
          </w:tcPr>
          <w:p w14:paraId="3E2D0097">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1047" w:type="dxa"/>
            <w:vMerge w:val="continue"/>
            <w:noWrap w:val="0"/>
            <w:vAlign w:val="center"/>
          </w:tcPr>
          <w:p w14:paraId="21983ED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4"/>
                <w:szCs w:val="24"/>
              </w:rPr>
            </w:pPr>
          </w:p>
        </w:tc>
        <w:tc>
          <w:tcPr>
            <w:tcW w:w="7568" w:type="dxa"/>
            <w:noWrap w:val="0"/>
            <w:vAlign w:val="center"/>
          </w:tcPr>
          <w:p w14:paraId="60020EA9">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支持异构环境无论x86还是arm环境统一部署和统一管理</w:t>
            </w:r>
            <w:r>
              <w:rPr>
                <w:rFonts w:hint="eastAsia" w:ascii="宋体" w:hAnsi="宋体" w:eastAsia="宋体" w:cs="宋体"/>
                <w:sz w:val="24"/>
                <w:szCs w:val="24"/>
                <w:lang w:eastAsia="zh-CN"/>
              </w:rPr>
              <w:t>。</w:t>
            </w:r>
          </w:p>
        </w:tc>
      </w:tr>
      <w:tr w14:paraId="116C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587" w:type="dxa"/>
            <w:vMerge w:val="continue"/>
            <w:noWrap w:val="0"/>
            <w:vAlign w:val="center"/>
          </w:tcPr>
          <w:p w14:paraId="01CD1DB1">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1047" w:type="dxa"/>
            <w:noWrap w:val="0"/>
            <w:vAlign w:val="center"/>
          </w:tcPr>
          <w:p w14:paraId="6F3075A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访问控制</w:t>
            </w:r>
          </w:p>
        </w:tc>
        <w:tc>
          <w:tcPr>
            <w:tcW w:w="7568" w:type="dxa"/>
            <w:noWrap w:val="0"/>
            <w:vAlign w:val="center"/>
          </w:tcPr>
          <w:p w14:paraId="25CB5A8A">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系统的用户角色支持基于三权体系进行不同的权限划分和平台管理。采用系统管理员、安全管理员、审计管理员三种管理员角色对系统进行分权管理，操作员对系统上的业务进行整体管理。系统管理员负责整体系统的安装，部署和配置，整体资源的预配置。安全管理员负责系统安全管理和资源的分配。审计管理员负责平台的操作审计和系统运行情况的审计。</w:t>
            </w:r>
            <w:r>
              <w:rPr>
                <w:rFonts w:hint="eastAsia" w:ascii="宋体" w:hAnsi="宋体" w:eastAsia="宋体" w:cs="宋体"/>
                <w:b/>
                <w:bCs/>
                <w:sz w:val="24"/>
                <w:szCs w:val="24"/>
              </w:rPr>
              <w:t>（提供信息安全专用证书及三权分立，管理员、操作员、审核员操作界面截图）</w:t>
            </w:r>
          </w:p>
        </w:tc>
      </w:tr>
      <w:tr w14:paraId="0BF53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87" w:type="dxa"/>
            <w:vMerge w:val="continue"/>
            <w:noWrap w:val="0"/>
            <w:vAlign w:val="center"/>
          </w:tcPr>
          <w:p w14:paraId="53437C2D">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1047" w:type="dxa"/>
            <w:vMerge w:val="restart"/>
            <w:noWrap w:val="0"/>
            <w:vAlign w:val="center"/>
          </w:tcPr>
          <w:p w14:paraId="1094D08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安装升级</w:t>
            </w:r>
          </w:p>
        </w:tc>
        <w:tc>
          <w:tcPr>
            <w:tcW w:w="7568" w:type="dxa"/>
            <w:noWrap w:val="0"/>
            <w:vAlign w:val="center"/>
          </w:tcPr>
          <w:p w14:paraId="7A77B8E0">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支持以离线包安装的方式和在线推送安装的方式，安装源端代理程序，目标端代理程序</w:t>
            </w:r>
            <w:r>
              <w:rPr>
                <w:rFonts w:hint="eastAsia" w:ascii="宋体" w:hAnsi="宋体" w:eastAsia="宋体" w:cs="宋体"/>
                <w:sz w:val="24"/>
                <w:szCs w:val="24"/>
                <w:lang w:eastAsia="zh-CN"/>
              </w:rPr>
              <w:t>。</w:t>
            </w:r>
          </w:p>
        </w:tc>
      </w:tr>
      <w:tr w14:paraId="5224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587" w:type="dxa"/>
            <w:vMerge w:val="continue"/>
            <w:noWrap w:val="0"/>
            <w:vAlign w:val="center"/>
          </w:tcPr>
          <w:p w14:paraId="50D9B072">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1047" w:type="dxa"/>
            <w:vMerge w:val="continue"/>
            <w:noWrap w:val="0"/>
            <w:vAlign w:val="center"/>
          </w:tcPr>
          <w:p w14:paraId="400A5FD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4"/>
                <w:szCs w:val="24"/>
              </w:rPr>
            </w:pPr>
          </w:p>
        </w:tc>
        <w:tc>
          <w:tcPr>
            <w:tcW w:w="7568" w:type="dxa"/>
            <w:noWrap w:val="0"/>
            <w:vAlign w:val="center"/>
          </w:tcPr>
          <w:p w14:paraId="1ADF8515">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支持以离线包安装升级的方式和在线推送安装升级的方式，平滑升级源端代理程序，灾备节点服务程序等</w:t>
            </w:r>
            <w:r>
              <w:rPr>
                <w:rFonts w:hint="eastAsia" w:ascii="宋体" w:hAnsi="宋体" w:eastAsia="宋体" w:cs="宋体"/>
                <w:sz w:val="24"/>
                <w:szCs w:val="24"/>
                <w:lang w:eastAsia="zh-CN"/>
              </w:rPr>
              <w:t>。</w:t>
            </w:r>
          </w:p>
        </w:tc>
      </w:tr>
      <w:tr w14:paraId="2C0C6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87" w:type="dxa"/>
            <w:vMerge w:val="continue"/>
            <w:noWrap w:val="0"/>
            <w:vAlign w:val="center"/>
          </w:tcPr>
          <w:p w14:paraId="28AC8E90">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1047" w:type="dxa"/>
            <w:noWrap w:val="0"/>
            <w:vAlign w:val="center"/>
          </w:tcPr>
          <w:p w14:paraId="2071745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在线巡检</w:t>
            </w:r>
          </w:p>
        </w:tc>
        <w:tc>
          <w:tcPr>
            <w:tcW w:w="7568" w:type="dxa"/>
            <w:noWrap w:val="0"/>
            <w:vAlign w:val="center"/>
          </w:tcPr>
          <w:p w14:paraId="235C61BD">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能够可视化预测保护策略的全量、快照/增量的未来计划执行情况和保护实际执行情况，更直观地展现灾备策略历史、现在和未来的执行情况，提前预警各灾备任务可能存在的冲突，便于及时调整灾备策略和更合理的规划和配置灾备任务</w:t>
            </w:r>
            <w:r>
              <w:rPr>
                <w:rFonts w:hint="eastAsia" w:ascii="宋体" w:hAnsi="宋体" w:eastAsia="宋体" w:cs="宋体"/>
                <w:sz w:val="24"/>
                <w:szCs w:val="24"/>
                <w:lang w:eastAsia="zh-CN"/>
              </w:rPr>
              <w:t>。</w:t>
            </w:r>
          </w:p>
        </w:tc>
      </w:tr>
      <w:tr w14:paraId="4801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87" w:type="dxa"/>
            <w:vMerge w:val="continue"/>
            <w:noWrap w:val="0"/>
            <w:vAlign w:val="center"/>
          </w:tcPr>
          <w:p w14:paraId="57131197">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1047" w:type="dxa"/>
            <w:vMerge w:val="restart"/>
            <w:noWrap w:val="0"/>
            <w:vAlign w:val="center"/>
          </w:tcPr>
          <w:p w14:paraId="5EB8462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消息通知</w:t>
            </w:r>
          </w:p>
        </w:tc>
        <w:tc>
          <w:tcPr>
            <w:tcW w:w="7568" w:type="dxa"/>
            <w:noWrap w:val="0"/>
            <w:vAlign w:val="center"/>
          </w:tcPr>
          <w:p w14:paraId="1831B2B3">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支持自定义消息通知的内容，选择界面操作成功和运行恢复正常的消息内容，操作失败的警告内容，后台运行异常和资源达到阈值的故障内容</w:t>
            </w:r>
            <w:r>
              <w:rPr>
                <w:rFonts w:hint="eastAsia" w:ascii="宋体" w:hAnsi="宋体" w:eastAsia="宋体" w:cs="宋体"/>
                <w:sz w:val="24"/>
                <w:szCs w:val="24"/>
                <w:lang w:eastAsia="zh-CN"/>
              </w:rPr>
              <w:t>。</w:t>
            </w:r>
          </w:p>
        </w:tc>
      </w:tr>
      <w:tr w14:paraId="5D984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87" w:type="dxa"/>
            <w:vMerge w:val="continue"/>
            <w:noWrap w:val="0"/>
            <w:vAlign w:val="center"/>
          </w:tcPr>
          <w:p w14:paraId="1A03BE10">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1047" w:type="dxa"/>
            <w:vMerge w:val="continue"/>
            <w:noWrap w:val="0"/>
            <w:vAlign w:val="center"/>
          </w:tcPr>
          <w:p w14:paraId="456A196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4"/>
                <w:szCs w:val="24"/>
              </w:rPr>
            </w:pPr>
          </w:p>
        </w:tc>
        <w:tc>
          <w:tcPr>
            <w:tcW w:w="7568" w:type="dxa"/>
            <w:noWrap w:val="0"/>
            <w:vAlign w:val="center"/>
          </w:tcPr>
          <w:p w14:paraId="080D1B73">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支持界面和邮件等多种消息通知方式</w:t>
            </w:r>
            <w:r>
              <w:rPr>
                <w:rFonts w:hint="eastAsia" w:ascii="宋体" w:hAnsi="宋体" w:eastAsia="宋体" w:cs="宋体"/>
                <w:sz w:val="24"/>
                <w:szCs w:val="24"/>
                <w:lang w:eastAsia="zh-CN"/>
              </w:rPr>
              <w:t>。</w:t>
            </w:r>
          </w:p>
        </w:tc>
      </w:tr>
      <w:tr w14:paraId="2B4E8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7" w:type="dxa"/>
            <w:vMerge w:val="continue"/>
            <w:noWrap w:val="0"/>
            <w:vAlign w:val="center"/>
          </w:tcPr>
          <w:p w14:paraId="4F3B4DF1">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1047" w:type="dxa"/>
            <w:vMerge w:val="restart"/>
            <w:noWrap w:val="0"/>
            <w:vAlign w:val="center"/>
          </w:tcPr>
          <w:p w14:paraId="698A045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可视化展示</w:t>
            </w:r>
          </w:p>
        </w:tc>
        <w:tc>
          <w:tcPr>
            <w:tcW w:w="7568" w:type="dxa"/>
            <w:noWrap w:val="0"/>
            <w:vAlign w:val="center"/>
          </w:tcPr>
          <w:p w14:paraId="1C4EA5C1">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支持平台客户端、保护任务、区域、节点、介质、云平台、演练应急主机、编排任务的状态的统计展示</w:t>
            </w:r>
            <w:r>
              <w:rPr>
                <w:rFonts w:hint="eastAsia" w:ascii="宋体" w:hAnsi="宋体" w:eastAsia="宋体" w:cs="宋体"/>
                <w:sz w:val="24"/>
                <w:szCs w:val="24"/>
                <w:lang w:eastAsia="zh-CN"/>
              </w:rPr>
              <w:t>。</w:t>
            </w:r>
          </w:p>
        </w:tc>
      </w:tr>
      <w:tr w14:paraId="1EA7B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87" w:type="dxa"/>
            <w:vMerge w:val="continue"/>
            <w:noWrap w:val="0"/>
            <w:vAlign w:val="center"/>
          </w:tcPr>
          <w:p w14:paraId="12FCEC70">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1047" w:type="dxa"/>
            <w:vMerge w:val="continue"/>
            <w:noWrap w:val="0"/>
            <w:vAlign w:val="center"/>
          </w:tcPr>
          <w:p w14:paraId="36F691D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4"/>
                <w:szCs w:val="24"/>
              </w:rPr>
            </w:pPr>
          </w:p>
        </w:tc>
        <w:tc>
          <w:tcPr>
            <w:tcW w:w="7568" w:type="dxa"/>
            <w:noWrap w:val="0"/>
            <w:vAlign w:val="center"/>
          </w:tcPr>
          <w:p w14:paraId="6F74CF24">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支持平台的存储资源、计算资源使用情况统计展示</w:t>
            </w:r>
            <w:r>
              <w:rPr>
                <w:rFonts w:hint="eastAsia" w:ascii="宋体" w:hAnsi="宋体" w:eastAsia="宋体" w:cs="宋体"/>
                <w:sz w:val="24"/>
                <w:szCs w:val="24"/>
                <w:lang w:eastAsia="zh-CN"/>
              </w:rPr>
              <w:t>。</w:t>
            </w:r>
          </w:p>
        </w:tc>
      </w:tr>
      <w:tr w14:paraId="18917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87" w:type="dxa"/>
            <w:vMerge w:val="continue"/>
            <w:noWrap w:val="0"/>
            <w:vAlign w:val="center"/>
          </w:tcPr>
          <w:p w14:paraId="5B7D7870">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1047" w:type="dxa"/>
            <w:vMerge w:val="continue"/>
            <w:noWrap w:val="0"/>
            <w:vAlign w:val="center"/>
          </w:tcPr>
          <w:p w14:paraId="5496D71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4"/>
                <w:szCs w:val="24"/>
              </w:rPr>
            </w:pPr>
          </w:p>
        </w:tc>
        <w:tc>
          <w:tcPr>
            <w:tcW w:w="7568" w:type="dxa"/>
            <w:noWrap w:val="0"/>
            <w:vAlign w:val="center"/>
          </w:tcPr>
          <w:p w14:paraId="114DF2F3">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支持平台整体的保护流量、恢复流量，各种类型任务运行阶段的实时流量和历史流量监控</w:t>
            </w:r>
            <w:r>
              <w:rPr>
                <w:rFonts w:hint="eastAsia" w:ascii="宋体" w:hAnsi="宋体" w:eastAsia="宋体" w:cs="宋体"/>
                <w:sz w:val="24"/>
                <w:szCs w:val="24"/>
                <w:lang w:eastAsia="zh-CN"/>
              </w:rPr>
              <w:t>。</w:t>
            </w:r>
          </w:p>
        </w:tc>
      </w:tr>
      <w:tr w14:paraId="5AFC1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87" w:type="dxa"/>
            <w:vMerge w:val="continue"/>
            <w:noWrap w:val="0"/>
            <w:vAlign w:val="center"/>
          </w:tcPr>
          <w:p w14:paraId="7149871A">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1047" w:type="dxa"/>
            <w:vMerge w:val="continue"/>
            <w:noWrap w:val="0"/>
            <w:vAlign w:val="center"/>
          </w:tcPr>
          <w:p w14:paraId="452FBBE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4"/>
                <w:szCs w:val="24"/>
              </w:rPr>
            </w:pPr>
          </w:p>
        </w:tc>
        <w:tc>
          <w:tcPr>
            <w:tcW w:w="7568" w:type="dxa"/>
            <w:noWrap w:val="0"/>
            <w:vAlign w:val="center"/>
          </w:tcPr>
          <w:p w14:paraId="379FDC83">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支持查看每个保护设备的rpo值</w:t>
            </w:r>
            <w:r>
              <w:rPr>
                <w:rFonts w:hint="eastAsia" w:ascii="宋体" w:hAnsi="宋体" w:eastAsia="宋体" w:cs="宋体"/>
                <w:sz w:val="24"/>
                <w:szCs w:val="24"/>
                <w:lang w:eastAsia="zh-CN"/>
              </w:rPr>
              <w:t>。</w:t>
            </w:r>
          </w:p>
        </w:tc>
      </w:tr>
      <w:tr w14:paraId="3740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87" w:type="dxa"/>
            <w:vMerge w:val="restart"/>
            <w:noWrap w:val="0"/>
            <w:vAlign w:val="center"/>
          </w:tcPr>
          <w:p w14:paraId="4B4E8DC6">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备份</w:t>
            </w:r>
          </w:p>
        </w:tc>
        <w:tc>
          <w:tcPr>
            <w:tcW w:w="1047" w:type="dxa"/>
            <w:vMerge w:val="restart"/>
            <w:noWrap w:val="0"/>
            <w:vAlign w:val="center"/>
          </w:tcPr>
          <w:p w14:paraId="28AEB94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主机镜像级保护</w:t>
            </w:r>
          </w:p>
        </w:tc>
        <w:tc>
          <w:tcPr>
            <w:tcW w:w="7568" w:type="dxa"/>
            <w:noWrap w:val="0"/>
            <w:vAlign w:val="center"/>
          </w:tcPr>
          <w:p w14:paraId="4C89EF07">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支持windows服务器版本、windows桌面版、linux、arm/x86架构的不同主机的卷/分区和整机级主机镜像保护</w:t>
            </w:r>
            <w:r>
              <w:rPr>
                <w:rFonts w:hint="eastAsia" w:ascii="宋体" w:hAnsi="宋体" w:eastAsia="宋体" w:cs="宋体"/>
                <w:sz w:val="24"/>
                <w:szCs w:val="24"/>
                <w:lang w:eastAsia="zh-CN"/>
              </w:rPr>
              <w:t>。</w:t>
            </w:r>
          </w:p>
        </w:tc>
      </w:tr>
      <w:tr w14:paraId="6301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87" w:type="dxa"/>
            <w:vMerge w:val="continue"/>
            <w:noWrap w:val="0"/>
            <w:vAlign w:val="center"/>
          </w:tcPr>
          <w:p w14:paraId="707B254A">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1047" w:type="dxa"/>
            <w:vMerge w:val="continue"/>
            <w:noWrap w:val="0"/>
            <w:vAlign w:val="center"/>
          </w:tcPr>
          <w:p w14:paraId="4D80BF1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p>
        </w:tc>
        <w:tc>
          <w:tcPr>
            <w:tcW w:w="7568" w:type="dxa"/>
            <w:noWrap w:val="0"/>
            <w:vAlign w:val="center"/>
          </w:tcPr>
          <w:p w14:paraId="13B58B3B">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支持基于主机的快照点数据，创建演练主机进行仿真演练，且演练系统的数据库可用，数据库数据为对应快照时间点的数据</w:t>
            </w:r>
            <w:r>
              <w:rPr>
                <w:rFonts w:hint="eastAsia" w:ascii="宋体" w:hAnsi="宋体" w:eastAsia="宋体" w:cs="宋体"/>
                <w:sz w:val="24"/>
                <w:szCs w:val="24"/>
                <w:lang w:eastAsia="zh-CN"/>
              </w:rPr>
              <w:t>。</w:t>
            </w:r>
          </w:p>
        </w:tc>
      </w:tr>
      <w:tr w14:paraId="14B54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587" w:type="dxa"/>
            <w:vMerge w:val="continue"/>
            <w:noWrap w:val="0"/>
            <w:vAlign w:val="center"/>
          </w:tcPr>
          <w:p w14:paraId="19CDDB78">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1047" w:type="dxa"/>
            <w:vMerge w:val="continue"/>
            <w:noWrap w:val="0"/>
            <w:vAlign w:val="center"/>
          </w:tcPr>
          <w:p w14:paraId="1AA6C1F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p>
        </w:tc>
        <w:tc>
          <w:tcPr>
            <w:tcW w:w="7568" w:type="dxa"/>
            <w:noWrap w:val="0"/>
            <w:vAlign w:val="center"/>
          </w:tcPr>
          <w:p w14:paraId="649CE230">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支持按照整机镜像恢复的方式恢复主机的快照点和演练主机的数据到原环境或异机环境，恢复的数据包含集群节点的操作系统，数据库，恢复完成后数据库可用。</w:t>
            </w:r>
          </w:p>
        </w:tc>
      </w:tr>
      <w:tr w14:paraId="268EA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87" w:type="dxa"/>
            <w:vMerge w:val="continue"/>
            <w:noWrap w:val="0"/>
            <w:vAlign w:val="center"/>
          </w:tcPr>
          <w:p w14:paraId="02FB9D24">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1047" w:type="dxa"/>
            <w:vMerge w:val="continue"/>
            <w:noWrap w:val="0"/>
            <w:vAlign w:val="center"/>
          </w:tcPr>
          <w:p w14:paraId="745ADA8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p>
        </w:tc>
        <w:tc>
          <w:tcPr>
            <w:tcW w:w="7568" w:type="dxa"/>
            <w:noWrap w:val="0"/>
            <w:vAlign w:val="center"/>
          </w:tcPr>
          <w:p w14:paraId="6D3676B6">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▲支持Oralce RAC双机集群和MSCS集群按照集群组的方式进行统一保护，保障集群组的数据一致性。</w:t>
            </w:r>
            <w:r>
              <w:rPr>
                <w:rFonts w:hint="eastAsia" w:ascii="宋体" w:hAnsi="宋体" w:eastAsia="宋体" w:cs="宋体"/>
                <w:b/>
                <w:bCs/>
                <w:sz w:val="24"/>
                <w:szCs w:val="24"/>
              </w:rPr>
              <w:t>（提供RAC 、MSCS 集群整机保护的配置截图）</w:t>
            </w:r>
          </w:p>
        </w:tc>
      </w:tr>
      <w:tr w14:paraId="36C1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87" w:type="dxa"/>
            <w:vMerge w:val="continue"/>
            <w:noWrap w:val="0"/>
            <w:vAlign w:val="center"/>
          </w:tcPr>
          <w:p w14:paraId="515BF781">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1047" w:type="dxa"/>
            <w:vMerge w:val="continue"/>
            <w:noWrap w:val="0"/>
            <w:vAlign w:val="center"/>
          </w:tcPr>
          <w:p w14:paraId="3490C7E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p>
        </w:tc>
        <w:tc>
          <w:tcPr>
            <w:tcW w:w="7568" w:type="dxa"/>
            <w:noWrap w:val="0"/>
            <w:vAlign w:val="center"/>
          </w:tcPr>
          <w:p w14:paraId="51D1D9D3">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FF0000"/>
                <w:sz w:val="24"/>
                <w:szCs w:val="24"/>
              </w:rPr>
            </w:pPr>
            <w:r>
              <w:rPr>
                <w:rFonts w:hint="eastAsia" w:ascii="宋体" w:hAnsi="宋体" w:eastAsia="宋体" w:cs="宋体"/>
                <w:color w:val="auto"/>
                <w:sz w:val="24"/>
                <w:szCs w:val="24"/>
              </w:rPr>
              <w:t>▲支持数据库逻辑双活同步，支持异构数据同步功能，实现不同数据库之间的数据同步。支持对象比对与修复，表比对与修复功能。</w:t>
            </w:r>
            <w:r>
              <w:rPr>
                <w:rFonts w:hint="eastAsia" w:ascii="宋体" w:hAnsi="宋体" w:eastAsia="宋体" w:cs="宋体"/>
                <w:b/>
                <w:bCs/>
                <w:color w:val="auto"/>
                <w:sz w:val="24"/>
                <w:szCs w:val="24"/>
              </w:rPr>
              <w:t>（提供以上所有功能软件功能截图并加盖原厂公章）</w:t>
            </w:r>
          </w:p>
        </w:tc>
      </w:tr>
      <w:tr w14:paraId="3B17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87" w:type="dxa"/>
            <w:vMerge w:val="continue"/>
            <w:noWrap w:val="0"/>
            <w:vAlign w:val="center"/>
          </w:tcPr>
          <w:p w14:paraId="0A0B16C9">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1047" w:type="dxa"/>
            <w:vMerge w:val="continue"/>
            <w:noWrap w:val="0"/>
            <w:vAlign w:val="center"/>
          </w:tcPr>
          <w:p w14:paraId="1C6FAC8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p>
        </w:tc>
        <w:tc>
          <w:tcPr>
            <w:tcW w:w="7568" w:type="dxa"/>
            <w:noWrap w:val="0"/>
            <w:vAlign w:val="center"/>
          </w:tcPr>
          <w:p w14:paraId="0D38494C">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支持基于Oralce RAC双机集群和MSCS集群的数据保护恢复点数据，创建演练主机进行仿真演练，且演练系统的数据库可用，数据库数据为对应快照时间点的数据。</w:t>
            </w:r>
          </w:p>
        </w:tc>
      </w:tr>
      <w:tr w14:paraId="10A4B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87" w:type="dxa"/>
            <w:vMerge w:val="continue"/>
            <w:noWrap w:val="0"/>
            <w:vAlign w:val="center"/>
          </w:tcPr>
          <w:p w14:paraId="31893408">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1047" w:type="dxa"/>
            <w:vMerge w:val="continue"/>
            <w:noWrap w:val="0"/>
            <w:vAlign w:val="center"/>
          </w:tcPr>
          <w:p w14:paraId="4F2AA03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p>
        </w:tc>
        <w:tc>
          <w:tcPr>
            <w:tcW w:w="7568" w:type="dxa"/>
            <w:noWrap w:val="0"/>
            <w:vAlign w:val="center"/>
          </w:tcPr>
          <w:p w14:paraId="4D80D3FD">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支持秒级数据同步和秒级粒度的数据恢复和容灾</w:t>
            </w:r>
            <w:r>
              <w:rPr>
                <w:rFonts w:hint="eastAsia" w:ascii="宋体" w:hAnsi="宋体" w:eastAsia="宋体" w:cs="宋体"/>
                <w:sz w:val="24"/>
                <w:szCs w:val="24"/>
                <w:lang w:eastAsia="zh-CN"/>
              </w:rPr>
              <w:t>。</w:t>
            </w:r>
          </w:p>
        </w:tc>
      </w:tr>
      <w:tr w14:paraId="08EB3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7" w:type="dxa"/>
            <w:vMerge w:val="continue"/>
            <w:noWrap w:val="0"/>
            <w:vAlign w:val="center"/>
          </w:tcPr>
          <w:p w14:paraId="0F56C4FE">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1047" w:type="dxa"/>
            <w:vMerge w:val="continue"/>
            <w:noWrap w:val="0"/>
            <w:vAlign w:val="center"/>
          </w:tcPr>
          <w:p w14:paraId="784A63C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p>
        </w:tc>
        <w:tc>
          <w:tcPr>
            <w:tcW w:w="7568" w:type="dxa"/>
            <w:noWrap w:val="0"/>
            <w:vAlign w:val="center"/>
          </w:tcPr>
          <w:p w14:paraId="42601C5A">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支持设置灾备业务的停用时间，支持多个时间段的自定义限速，支持只限制全量备份和限制全部备份操作，针对有业务高峰期的业务系统，通过设置停用时间段，减少灾备对业务的影响</w:t>
            </w:r>
            <w:r>
              <w:rPr>
                <w:rFonts w:hint="eastAsia" w:ascii="宋体" w:hAnsi="宋体" w:eastAsia="宋体" w:cs="宋体"/>
                <w:sz w:val="24"/>
                <w:szCs w:val="24"/>
                <w:lang w:eastAsia="zh-CN"/>
              </w:rPr>
              <w:t>。</w:t>
            </w:r>
          </w:p>
        </w:tc>
      </w:tr>
      <w:tr w14:paraId="52B8F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87" w:type="dxa"/>
            <w:vMerge w:val="continue"/>
            <w:noWrap w:val="0"/>
            <w:vAlign w:val="center"/>
          </w:tcPr>
          <w:p w14:paraId="412E9B6B">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1047" w:type="dxa"/>
            <w:vMerge w:val="continue"/>
            <w:noWrap w:val="0"/>
            <w:vAlign w:val="center"/>
          </w:tcPr>
          <w:p w14:paraId="770EF38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p>
        </w:tc>
        <w:tc>
          <w:tcPr>
            <w:tcW w:w="7568" w:type="dxa"/>
            <w:noWrap w:val="0"/>
            <w:vAlign w:val="center"/>
          </w:tcPr>
          <w:p w14:paraId="2ADD7B8C">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支持精简备份和精简校验模式，在备份和校验只进行有效数据的传输，提高备份效率</w:t>
            </w:r>
            <w:r>
              <w:rPr>
                <w:rFonts w:hint="eastAsia" w:ascii="宋体" w:hAnsi="宋体" w:eastAsia="宋体" w:cs="宋体"/>
                <w:sz w:val="24"/>
                <w:szCs w:val="24"/>
                <w:lang w:eastAsia="zh-CN"/>
              </w:rPr>
              <w:t>。</w:t>
            </w:r>
          </w:p>
        </w:tc>
      </w:tr>
      <w:tr w14:paraId="57310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87" w:type="dxa"/>
            <w:vMerge w:val="continue"/>
            <w:noWrap w:val="0"/>
            <w:vAlign w:val="center"/>
          </w:tcPr>
          <w:p w14:paraId="7D8AA198">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1047" w:type="dxa"/>
            <w:vMerge w:val="continue"/>
            <w:noWrap w:val="0"/>
            <w:vAlign w:val="center"/>
          </w:tcPr>
          <w:p w14:paraId="50B1302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p>
        </w:tc>
        <w:tc>
          <w:tcPr>
            <w:tcW w:w="7568" w:type="dxa"/>
            <w:noWrap w:val="0"/>
            <w:vAlign w:val="center"/>
          </w:tcPr>
          <w:p w14:paraId="6A53BDFA">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支持保护过程中批量进行业务配置和批量执行保护操作</w:t>
            </w:r>
            <w:r>
              <w:rPr>
                <w:rFonts w:hint="eastAsia" w:ascii="宋体" w:hAnsi="宋体" w:eastAsia="宋体" w:cs="宋体"/>
                <w:sz w:val="24"/>
                <w:szCs w:val="24"/>
                <w:lang w:eastAsia="zh-CN"/>
              </w:rPr>
              <w:t>。</w:t>
            </w:r>
          </w:p>
        </w:tc>
      </w:tr>
      <w:tr w14:paraId="0AED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587" w:type="dxa"/>
            <w:vMerge w:val="continue"/>
            <w:noWrap w:val="0"/>
            <w:vAlign w:val="center"/>
          </w:tcPr>
          <w:p w14:paraId="50E40197">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1047" w:type="dxa"/>
            <w:vMerge w:val="restart"/>
            <w:noWrap w:val="0"/>
            <w:vAlign w:val="center"/>
          </w:tcPr>
          <w:p w14:paraId="124D8A0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分布式保护</w:t>
            </w:r>
          </w:p>
        </w:tc>
        <w:tc>
          <w:tcPr>
            <w:tcW w:w="7568" w:type="dxa"/>
            <w:noWrap w:val="0"/>
            <w:vAlign w:val="center"/>
          </w:tcPr>
          <w:p w14:paraId="203BAF0D">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支持对分布式设备和分布式数据库进行数据保护，通过算法来保障多个设备之间同一时间点的一致性，在进行恢复和容灾的时候能够进行分布式业务正常使用。</w:t>
            </w:r>
          </w:p>
        </w:tc>
      </w:tr>
      <w:tr w14:paraId="6010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587" w:type="dxa"/>
            <w:vMerge w:val="continue"/>
            <w:noWrap w:val="0"/>
            <w:vAlign w:val="center"/>
          </w:tcPr>
          <w:p w14:paraId="3810C934">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1047" w:type="dxa"/>
            <w:vMerge w:val="continue"/>
            <w:noWrap w:val="0"/>
            <w:vAlign w:val="center"/>
          </w:tcPr>
          <w:p w14:paraId="7880A65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4"/>
                <w:szCs w:val="24"/>
              </w:rPr>
            </w:pPr>
          </w:p>
        </w:tc>
        <w:tc>
          <w:tcPr>
            <w:tcW w:w="7568" w:type="dxa"/>
            <w:noWrap w:val="0"/>
            <w:vAlign w:val="center"/>
          </w:tcPr>
          <w:p w14:paraId="450ED26B">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支持将分布式设备组成统一的分布式集群组进行统一管理和保护，以分布式集群的维度进行统一的策略规划和同时进行数据保护，保证分布式的设备能够在同一个时刻完成数据保护，并且确保分布式的任意时间快照数据都是可用的。</w:t>
            </w:r>
          </w:p>
        </w:tc>
      </w:tr>
      <w:tr w14:paraId="6B115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87" w:type="dxa"/>
            <w:vMerge w:val="continue"/>
            <w:noWrap w:val="0"/>
            <w:vAlign w:val="center"/>
          </w:tcPr>
          <w:p w14:paraId="2E0582DC">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1047" w:type="dxa"/>
            <w:vMerge w:val="restart"/>
            <w:noWrap w:val="0"/>
            <w:vAlign w:val="center"/>
          </w:tcPr>
          <w:p w14:paraId="219D712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保护策略</w:t>
            </w:r>
          </w:p>
        </w:tc>
        <w:tc>
          <w:tcPr>
            <w:tcW w:w="7568" w:type="dxa"/>
            <w:noWrap w:val="0"/>
            <w:vAlign w:val="center"/>
          </w:tcPr>
          <w:p w14:paraId="164B5DDF">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支持采用永久增量的模式进行数据备份，采用一份副本来满足不同时间点的数据使用</w:t>
            </w:r>
            <w:r>
              <w:rPr>
                <w:rFonts w:hint="eastAsia" w:ascii="宋体" w:hAnsi="宋体" w:eastAsia="宋体" w:cs="宋体"/>
                <w:sz w:val="24"/>
                <w:szCs w:val="24"/>
                <w:lang w:eastAsia="zh-CN"/>
              </w:rPr>
              <w:t>。</w:t>
            </w:r>
          </w:p>
        </w:tc>
      </w:tr>
      <w:tr w14:paraId="6DE2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87" w:type="dxa"/>
            <w:vMerge w:val="continue"/>
            <w:noWrap w:val="0"/>
            <w:vAlign w:val="center"/>
          </w:tcPr>
          <w:p w14:paraId="5BB00954">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1047" w:type="dxa"/>
            <w:vMerge w:val="continue"/>
            <w:noWrap w:val="0"/>
            <w:vAlign w:val="center"/>
          </w:tcPr>
          <w:p w14:paraId="2712424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4"/>
                <w:szCs w:val="24"/>
              </w:rPr>
            </w:pPr>
          </w:p>
        </w:tc>
        <w:tc>
          <w:tcPr>
            <w:tcW w:w="7568" w:type="dxa"/>
            <w:noWrap w:val="0"/>
            <w:vAlign w:val="center"/>
          </w:tcPr>
          <w:p w14:paraId="37D70B2F">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支持周期全量模式进行数据备份，采用多个完整数据集的方式进行数据存储，保障数据的可用性和数据的长久保存</w:t>
            </w:r>
            <w:r>
              <w:rPr>
                <w:rFonts w:hint="eastAsia" w:ascii="宋体" w:hAnsi="宋体" w:eastAsia="宋体" w:cs="宋体"/>
                <w:sz w:val="24"/>
                <w:szCs w:val="24"/>
                <w:lang w:eastAsia="zh-CN"/>
              </w:rPr>
              <w:t>。</w:t>
            </w:r>
          </w:p>
        </w:tc>
      </w:tr>
      <w:tr w14:paraId="652EE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87" w:type="dxa"/>
            <w:vMerge w:val="continue"/>
            <w:noWrap w:val="0"/>
            <w:vAlign w:val="center"/>
          </w:tcPr>
          <w:p w14:paraId="5C528999">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1047" w:type="dxa"/>
            <w:vMerge w:val="continue"/>
            <w:noWrap w:val="0"/>
            <w:vAlign w:val="center"/>
          </w:tcPr>
          <w:p w14:paraId="13CDD1B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4"/>
                <w:szCs w:val="24"/>
              </w:rPr>
            </w:pPr>
          </w:p>
        </w:tc>
        <w:tc>
          <w:tcPr>
            <w:tcW w:w="7568" w:type="dxa"/>
            <w:noWrap w:val="0"/>
            <w:vAlign w:val="center"/>
          </w:tcPr>
          <w:p w14:paraId="7D443D99">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▲支持AES和SM4两种传输加密保障传输数据的安全性。支持传输压缩、存储重删、存储压缩减少网络和存储资源占用。</w:t>
            </w:r>
            <w:r>
              <w:rPr>
                <w:rFonts w:hint="eastAsia" w:ascii="宋体" w:hAnsi="宋体" w:eastAsia="宋体" w:cs="宋体"/>
                <w:b/>
                <w:bCs/>
                <w:sz w:val="24"/>
                <w:szCs w:val="24"/>
              </w:rPr>
              <w:t>（提供加密、传输压缩</w:t>
            </w:r>
            <w:r>
              <w:rPr>
                <w:rFonts w:hint="eastAsia" w:ascii="宋体" w:hAnsi="宋体" w:eastAsia="宋体" w:cs="宋体"/>
                <w:b/>
                <w:bCs/>
                <w:sz w:val="24"/>
                <w:szCs w:val="24"/>
                <w:lang w:eastAsia="zh-CN"/>
              </w:rPr>
              <w:t>、</w:t>
            </w:r>
            <w:r>
              <w:rPr>
                <w:rFonts w:hint="eastAsia" w:ascii="宋体" w:hAnsi="宋体" w:eastAsia="宋体" w:cs="宋体"/>
                <w:b/>
                <w:bCs/>
                <w:sz w:val="24"/>
                <w:szCs w:val="24"/>
              </w:rPr>
              <w:t>存储重删、存储压缩功能截图）</w:t>
            </w:r>
          </w:p>
        </w:tc>
      </w:tr>
      <w:tr w14:paraId="35E2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87" w:type="dxa"/>
            <w:vMerge w:val="continue"/>
            <w:noWrap w:val="0"/>
            <w:vAlign w:val="center"/>
          </w:tcPr>
          <w:p w14:paraId="5470EC05">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1047" w:type="dxa"/>
            <w:vMerge w:val="continue"/>
            <w:noWrap w:val="0"/>
            <w:vAlign w:val="center"/>
          </w:tcPr>
          <w:p w14:paraId="6B5E7CE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4"/>
                <w:szCs w:val="24"/>
              </w:rPr>
            </w:pPr>
          </w:p>
        </w:tc>
        <w:tc>
          <w:tcPr>
            <w:tcW w:w="7568" w:type="dxa"/>
            <w:noWrap w:val="0"/>
            <w:vAlign w:val="center"/>
          </w:tcPr>
          <w:p w14:paraId="1F578088">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支持设置保护策略模板，在保护的时候引用模板，创建新模板的时候引用历史模板，减少重复配置的工作。</w:t>
            </w:r>
          </w:p>
        </w:tc>
      </w:tr>
      <w:tr w14:paraId="4BCF0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87" w:type="dxa"/>
            <w:vMerge w:val="continue"/>
            <w:noWrap w:val="0"/>
            <w:vAlign w:val="center"/>
          </w:tcPr>
          <w:p w14:paraId="148F9535">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1047" w:type="dxa"/>
            <w:vMerge w:val="continue"/>
            <w:noWrap w:val="0"/>
            <w:vAlign w:val="center"/>
          </w:tcPr>
          <w:p w14:paraId="435161B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4"/>
                <w:szCs w:val="24"/>
              </w:rPr>
            </w:pPr>
          </w:p>
        </w:tc>
        <w:tc>
          <w:tcPr>
            <w:tcW w:w="7568" w:type="dxa"/>
            <w:noWrap w:val="0"/>
            <w:vAlign w:val="center"/>
          </w:tcPr>
          <w:p w14:paraId="6A4F31E7">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支持全局限速和自定义时间段限速，在业务高峰期减少灾备对网络资源的消耗</w:t>
            </w:r>
            <w:r>
              <w:rPr>
                <w:rFonts w:hint="eastAsia" w:ascii="宋体" w:hAnsi="宋体" w:eastAsia="宋体" w:cs="宋体"/>
                <w:sz w:val="24"/>
                <w:szCs w:val="24"/>
                <w:lang w:eastAsia="zh-CN"/>
              </w:rPr>
              <w:t>。</w:t>
            </w:r>
          </w:p>
        </w:tc>
      </w:tr>
      <w:tr w14:paraId="534AE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87" w:type="dxa"/>
            <w:vMerge w:val="restart"/>
            <w:noWrap w:val="0"/>
            <w:vAlign w:val="center"/>
          </w:tcPr>
          <w:p w14:paraId="4EDF92EC">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恢复</w:t>
            </w:r>
          </w:p>
        </w:tc>
        <w:tc>
          <w:tcPr>
            <w:tcW w:w="1047" w:type="dxa"/>
            <w:vMerge w:val="restart"/>
            <w:noWrap w:val="0"/>
            <w:vAlign w:val="center"/>
          </w:tcPr>
          <w:p w14:paraId="04BCE9E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数据挂载</w:t>
            </w:r>
          </w:p>
        </w:tc>
        <w:tc>
          <w:tcPr>
            <w:tcW w:w="7568" w:type="dxa"/>
            <w:noWrap w:val="0"/>
            <w:vAlign w:val="center"/>
          </w:tcPr>
          <w:p w14:paraId="6EB20ED1">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支持iSCSI、FC、卷/分区、NFS等多种挂载方式，并且根据不同的设备自动进行挂载方式选择</w:t>
            </w:r>
            <w:r>
              <w:rPr>
                <w:rFonts w:hint="eastAsia" w:ascii="宋体" w:hAnsi="宋体" w:eastAsia="宋体" w:cs="宋体"/>
                <w:sz w:val="24"/>
                <w:szCs w:val="24"/>
                <w:lang w:eastAsia="zh-CN"/>
              </w:rPr>
              <w:t>。</w:t>
            </w:r>
          </w:p>
        </w:tc>
      </w:tr>
      <w:tr w14:paraId="5446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87" w:type="dxa"/>
            <w:vMerge w:val="continue"/>
            <w:noWrap w:val="0"/>
            <w:vAlign w:val="center"/>
          </w:tcPr>
          <w:p w14:paraId="02BFC39C">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1047" w:type="dxa"/>
            <w:vMerge w:val="continue"/>
            <w:noWrap w:val="0"/>
            <w:vAlign w:val="center"/>
          </w:tcPr>
          <w:p w14:paraId="225EA68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4"/>
                <w:szCs w:val="24"/>
              </w:rPr>
            </w:pPr>
          </w:p>
        </w:tc>
        <w:tc>
          <w:tcPr>
            <w:tcW w:w="7568" w:type="dxa"/>
            <w:noWrap w:val="0"/>
            <w:vAlign w:val="center"/>
          </w:tcPr>
          <w:p w14:paraId="0B538A7F">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支持数据挂载的数据恢复到指定目标设备</w:t>
            </w:r>
            <w:r>
              <w:rPr>
                <w:rFonts w:hint="eastAsia" w:ascii="宋体" w:hAnsi="宋体" w:eastAsia="宋体" w:cs="宋体"/>
                <w:sz w:val="24"/>
                <w:szCs w:val="24"/>
                <w:lang w:eastAsia="zh-CN"/>
              </w:rPr>
              <w:t>。</w:t>
            </w:r>
          </w:p>
        </w:tc>
      </w:tr>
      <w:tr w14:paraId="45490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87" w:type="dxa"/>
            <w:vMerge w:val="continue"/>
            <w:noWrap w:val="0"/>
            <w:vAlign w:val="center"/>
          </w:tcPr>
          <w:p w14:paraId="0D3E905C">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1047" w:type="dxa"/>
            <w:vMerge w:val="restart"/>
            <w:noWrap w:val="0"/>
            <w:vAlign w:val="center"/>
          </w:tcPr>
          <w:p w14:paraId="62F7D3C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数据恢复</w:t>
            </w:r>
          </w:p>
        </w:tc>
        <w:tc>
          <w:tcPr>
            <w:tcW w:w="7568" w:type="dxa"/>
            <w:noWrap w:val="0"/>
            <w:vAlign w:val="center"/>
          </w:tcPr>
          <w:p w14:paraId="17497516">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支持v2v,p2v跨平台恢复，将保护产生的数据集恢复到指定的目标设备上，在目标设备上存储和使用对应的数据</w:t>
            </w:r>
            <w:r>
              <w:rPr>
                <w:rFonts w:hint="eastAsia" w:ascii="宋体" w:hAnsi="宋体" w:eastAsia="宋体" w:cs="宋体"/>
                <w:sz w:val="24"/>
                <w:szCs w:val="24"/>
                <w:lang w:eastAsia="zh-CN"/>
              </w:rPr>
              <w:t>。</w:t>
            </w:r>
          </w:p>
        </w:tc>
      </w:tr>
      <w:tr w14:paraId="08E60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87" w:type="dxa"/>
            <w:vMerge w:val="continue"/>
            <w:noWrap w:val="0"/>
            <w:vAlign w:val="center"/>
          </w:tcPr>
          <w:p w14:paraId="7684C012">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1047" w:type="dxa"/>
            <w:vMerge w:val="continue"/>
            <w:noWrap w:val="0"/>
            <w:vAlign w:val="center"/>
          </w:tcPr>
          <w:p w14:paraId="1CF1C171">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p>
        </w:tc>
        <w:tc>
          <w:tcPr>
            <w:tcW w:w="7568" w:type="dxa"/>
            <w:noWrap w:val="0"/>
            <w:vAlign w:val="center"/>
          </w:tcPr>
          <w:p w14:paraId="7B5A6507">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▲支持持续数据保护功能：可设定的任意历史点数据恢复，时间精度可以达到秒级。</w:t>
            </w:r>
            <w:r>
              <w:rPr>
                <w:rFonts w:hint="eastAsia" w:ascii="宋体" w:hAnsi="宋体" w:eastAsia="宋体" w:cs="宋体"/>
                <w:b/>
                <w:bCs/>
                <w:sz w:val="24"/>
                <w:szCs w:val="24"/>
              </w:rPr>
              <w:t>（提供软件恢复界面截图和功能效率满足任意历史点数据恢复</w:t>
            </w:r>
            <w:r>
              <w:rPr>
                <w:rFonts w:hint="eastAsia" w:ascii="宋体" w:hAnsi="宋体" w:eastAsia="宋体" w:cs="宋体"/>
                <w:b/>
                <w:bCs/>
                <w:sz w:val="24"/>
                <w:szCs w:val="24"/>
                <w:lang w:val="en-US" w:eastAsia="zh-CN"/>
              </w:rPr>
              <w:t>截图</w:t>
            </w:r>
            <w:r>
              <w:rPr>
                <w:rFonts w:hint="eastAsia" w:ascii="宋体" w:hAnsi="宋体" w:eastAsia="宋体" w:cs="宋体"/>
                <w:b/>
                <w:bCs/>
                <w:sz w:val="24"/>
                <w:szCs w:val="24"/>
              </w:rPr>
              <w:t>）</w:t>
            </w:r>
            <w:r>
              <w:rPr>
                <w:rFonts w:hint="eastAsia" w:ascii="宋体" w:hAnsi="宋体" w:eastAsia="宋体" w:cs="宋体"/>
                <w:b/>
                <w:bCs/>
                <w:sz w:val="24"/>
                <w:szCs w:val="24"/>
                <w:lang w:eastAsia="zh-CN"/>
              </w:rPr>
              <w:t>。</w:t>
            </w:r>
          </w:p>
        </w:tc>
      </w:tr>
      <w:tr w14:paraId="1E0B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87" w:type="dxa"/>
            <w:vMerge w:val="continue"/>
            <w:noWrap w:val="0"/>
            <w:vAlign w:val="center"/>
          </w:tcPr>
          <w:p w14:paraId="71498ABE">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1047" w:type="dxa"/>
            <w:vMerge w:val="continue"/>
            <w:noWrap w:val="0"/>
            <w:vAlign w:val="center"/>
          </w:tcPr>
          <w:p w14:paraId="3E68ECAC">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p>
        </w:tc>
        <w:tc>
          <w:tcPr>
            <w:tcW w:w="7568" w:type="dxa"/>
            <w:noWrap w:val="0"/>
            <w:vAlign w:val="center"/>
          </w:tcPr>
          <w:p w14:paraId="4F1E7AFE">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镜像级保护的数据集恢复到目标设备后能够完整还原业务环境和业务数据，无需手动进行环境搭建。</w:t>
            </w:r>
          </w:p>
        </w:tc>
      </w:tr>
      <w:tr w14:paraId="6FA6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87" w:type="dxa"/>
            <w:vMerge w:val="continue"/>
            <w:noWrap w:val="0"/>
            <w:vAlign w:val="center"/>
          </w:tcPr>
          <w:p w14:paraId="70B8BD22">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1047" w:type="dxa"/>
            <w:vMerge w:val="continue"/>
            <w:noWrap w:val="0"/>
            <w:vAlign w:val="center"/>
          </w:tcPr>
          <w:p w14:paraId="4DD01313">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p>
        </w:tc>
        <w:tc>
          <w:tcPr>
            <w:tcW w:w="7568" w:type="dxa"/>
            <w:noWrap w:val="0"/>
            <w:vAlign w:val="center"/>
          </w:tcPr>
          <w:p w14:paraId="562DF861">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支持传输加密保障传输数据的安全性</w:t>
            </w:r>
            <w:r>
              <w:rPr>
                <w:rFonts w:hint="eastAsia" w:ascii="宋体" w:hAnsi="宋体" w:eastAsia="宋体" w:cs="宋体"/>
                <w:sz w:val="24"/>
                <w:szCs w:val="24"/>
                <w:lang w:eastAsia="zh-CN"/>
              </w:rPr>
              <w:t>，</w:t>
            </w:r>
            <w:r>
              <w:rPr>
                <w:rFonts w:hint="eastAsia" w:ascii="宋体" w:hAnsi="宋体" w:eastAsia="宋体" w:cs="宋体"/>
                <w:sz w:val="24"/>
                <w:szCs w:val="24"/>
              </w:rPr>
              <w:t>支持传输压缩减少网络资源占用</w:t>
            </w:r>
            <w:r>
              <w:rPr>
                <w:rFonts w:hint="eastAsia" w:ascii="宋体" w:hAnsi="宋体" w:eastAsia="宋体" w:cs="宋体"/>
                <w:sz w:val="24"/>
                <w:szCs w:val="24"/>
                <w:lang w:eastAsia="zh-CN"/>
              </w:rPr>
              <w:t>。</w:t>
            </w:r>
          </w:p>
        </w:tc>
      </w:tr>
      <w:tr w14:paraId="1AE4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87" w:type="dxa"/>
            <w:vMerge w:val="continue"/>
            <w:noWrap w:val="0"/>
            <w:vAlign w:val="center"/>
          </w:tcPr>
          <w:p w14:paraId="05B0955B">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1047" w:type="dxa"/>
            <w:vMerge w:val="continue"/>
            <w:noWrap w:val="0"/>
            <w:vAlign w:val="center"/>
          </w:tcPr>
          <w:p w14:paraId="5AAE1243">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p>
        </w:tc>
        <w:tc>
          <w:tcPr>
            <w:tcW w:w="7568" w:type="dxa"/>
            <w:noWrap w:val="0"/>
            <w:vAlign w:val="center"/>
          </w:tcPr>
          <w:p w14:paraId="1BFFE16F">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支持多个磁盘并发进行数据传输，提高恢复的效率。</w:t>
            </w:r>
          </w:p>
        </w:tc>
      </w:tr>
      <w:tr w14:paraId="05A2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87" w:type="dxa"/>
            <w:vMerge w:val="continue"/>
            <w:noWrap w:val="0"/>
            <w:vAlign w:val="center"/>
          </w:tcPr>
          <w:p w14:paraId="0D893147">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1047" w:type="dxa"/>
            <w:vMerge w:val="continue"/>
            <w:noWrap w:val="0"/>
            <w:vAlign w:val="center"/>
          </w:tcPr>
          <w:p w14:paraId="31CC737A">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p>
        </w:tc>
        <w:tc>
          <w:tcPr>
            <w:tcW w:w="7568" w:type="dxa"/>
            <w:noWrap w:val="0"/>
            <w:vAlign w:val="center"/>
          </w:tcPr>
          <w:p w14:paraId="6CD5982D">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支持全局限速，在业务高峰期减少灾备对网络资源的消耗</w:t>
            </w:r>
            <w:r>
              <w:rPr>
                <w:rFonts w:hint="eastAsia" w:ascii="宋体" w:hAnsi="宋体" w:eastAsia="宋体" w:cs="宋体"/>
                <w:sz w:val="24"/>
                <w:szCs w:val="24"/>
                <w:lang w:eastAsia="zh-CN"/>
              </w:rPr>
              <w:t>。</w:t>
            </w:r>
          </w:p>
        </w:tc>
      </w:tr>
      <w:tr w14:paraId="06F0B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587" w:type="dxa"/>
            <w:vMerge w:val="restart"/>
            <w:noWrap w:val="0"/>
            <w:vAlign w:val="center"/>
          </w:tcPr>
          <w:p w14:paraId="06E28CBB">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仿真演练</w:t>
            </w:r>
          </w:p>
        </w:tc>
        <w:tc>
          <w:tcPr>
            <w:tcW w:w="8615" w:type="dxa"/>
            <w:gridSpan w:val="2"/>
            <w:noWrap w:val="0"/>
            <w:vAlign w:val="center"/>
          </w:tcPr>
          <w:p w14:paraId="75F5CDDF">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支持在完全不影响生产业务和灾备任务的前提下，随时随地进行容灾演练测试；容灾演练测试须操作简单，可完成所有系统配置部分（系统配置、IP地址、机器名、服务启动状态等），且可同时一键生成和启动多个时间点容灾演练系统；容灾演练系统需与生产系统除硬件外完全一致 </w:t>
            </w:r>
            <w:r>
              <w:rPr>
                <w:rFonts w:hint="eastAsia" w:ascii="宋体" w:hAnsi="宋体" w:eastAsia="宋体" w:cs="宋体"/>
                <w:sz w:val="24"/>
                <w:szCs w:val="24"/>
                <w:lang w:eastAsia="zh-CN"/>
              </w:rPr>
              <w:t>。</w:t>
            </w:r>
            <w:r>
              <w:rPr>
                <w:rFonts w:hint="eastAsia" w:ascii="宋体" w:hAnsi="宋体" w:eastAsia="宋体" w:cs="宋体"/>
                <w:b/>
                <w:bCs/>
                <w:sz w:val="24"/>
                <w:szCs w:val="24"/>
              </w:rPr>
              <w:t>（提供仿真演练、单机多时间点同时演练相关功能截图）</w:t>
            </w:r>
          </w:p>
        </w:tc>
      </w:tr>
      <w:tr w14:paraId="6759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87" w:type="dxa"/>
            <w:vMerge w:val="continue"/>
            <w:noWrap w:val="0"/>
            <w:vAlign w:val="center"/>
          </w:tcPr>
          <w:p w14:paraId="539B4AB7">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8615" w:type="dxa"/>
            <w:gridSpan w:val="2"/>
            <w:noWrap w:val="0"/>
            <w:vAlign w:val="center"/>
          </w:tcPr>
          <w:p w14:paraId="4DC0889D">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支持设置操作系统、CPU类型、内存、网卡驱动、显卡类型、引导方式、选择磁盘（支持外部磁盘）、选择网络（支持选择虚拟子网）、配置附件和脚本</w:t>
            </w:r>
            <w:r>
              <w:rPr>
                <w:rFonts w:hint="eastAsia" w:ascii="宋体" w:hAnsi="宋体" w:eastAsia="宋体" w:cs="宋体"/>
                <w:sz w:val="24"/>
                <w:szCs w:val="24"/>
                <w:lang w:eastAsia="zh-CN"/>
              </w:rPr>
              <w:t>。</w:t>
            </w:r>
          </w:p>
        </w:tc>
      </w:tr>
      <w:tr w14:paraId="3B51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87" w:type="dxa"/>
            <w:vMerge w:val="continue"/>
            <w:noWrap w:val="0"/>
            <w:vAlign w:val="center"/>
          </w:tcPr>
          <w:p w14:paraId="430327FC">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8615" w:type="dxa"/>
            <w:gridSpan w:val="2"/>
            <w:noWrap w:val="0"/>
            <w:vAlign w:val="center"/>
          </w:tcPr>
          <w:p w14:paraId="11D692D6">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支持平台计算资源的消耗展示及资源监控，支持平台内部构件虚拟子网，仿真演练主机可通过虚拟子网实现交互</w:t>
            </w:r>
            <w:r>
              <w:rPr>
                <w:rFonts w:hint="eastAsia" w:ascii="宋体" w:hAnsi="宋体" w:eastAsia="宋体" w:cs="宋体"/>
                <w:sz w:val="24"/>
                <w:szCs w:val="24"/>
                <w:lang w:eastAsia="zh-CN"/>
              </w:rPr>
              <w:t>。</w:t>
            </w:r>
          </w:p>
        </w:tc>
      </w:tr>
      <w:tr w14:paraId="53CAB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87" w:type="dxa"/>
            <w:vMerge w:val="restart"/>
            <w:noWrap w:val="0"/>
            <w:vAlign w:val="center"/>
          </w:tcPr>
          <w:p w14:paraId="2C408CB2">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本地容灾</w:t>
            </w:r>
          </w:p>
        </w:tc>
        <w:tc>
          <w:tcPr>
            <w:tcW w:w="8615" w:type="dxa"/>
            <w:gridSpan w:val="2"/>
            <w:noWrap w:val="0"/>
            <w:vAlign w:val="center"/>
          </w:tcPr>
          <w:p w14:paraId="48390BDE">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FF0000"/>
                <w:sz w:val="24"/>
                <w:szCs w:val="24"/>
                <w:lang w:eastAsia="zh-CN"/>
              </w:rPr>
            </w:pPr>
            <w:r>
              <w:rPr>
                <w:rFonts w:hint="eastAsia" w:ascii="宋体" w:hAnsi="宋体" w:eastAsia="宋体" w:cs="宋体"/>
                <w:color w:val="auto"/>
                <w:sz w:val="24"/>
                <w:szCs w:val="24"/>
              </w:rPr>
              <w:t>▲支持和Zstack、浪潮云、Cas、Uis、ovirt通过api的方式进行对接，实现云平台主机无代理CDP备份和历史数据迅速云上应急。</w:t>
            </w:r>
            <w:r>
              <w:rPr>
                <w:rFonts w:hint="eastAsia" w:ascii="宋体" w:hAnsi="宋体" w:eastAsia="宋体" w:cs="宋体"/>
                <w:b/>
                <w:bCs/>
                <w:color w:val="auto"/>
                <w:sz w:val="24"/>
                <w:szCs w:val="24"/>
              </w:rPr>
              <w:t>（提供各云平台无代理CDP备份和历史数据迅速云上应急功能截图）</w:t>
            </w:r>
            <w:r>
              <w:rPr>
                <w:rFonts w:hint="eastAsia" w:ascii="宋体" w:hAnsi="宋体" w:eastAsia="宋体" w:cs="宋体"/>
                <w:b/>
                <w:bCs/>
                <w:color w:val="auto"/>
                <w:sz w:val="24"/>
                <w:szCs w:val="24"/>
                <w:lang w:eastAsia="zh-CN"/>
              </w:rPr>
              <w:t>。</w:t>
            </w:r>
          </w:p>
        </w:tc>
      </w:tr>
      <w:tr w14:paraId="2FDA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87" w:type="dxa"/>
            <w:vMerge w:val="continue"/>
            <w:noWrap w:val="0"/>
            <w:vAlign w:val="center"/>
          </w:tcPr>
          <w:p w14:paraId="439AD7BF">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8615" w:type="dxa"/>
            <w:gridSpan w:val="2"/>
            <w:noWrap w:val="0"/>
            <w:vAlign w:val="center"/>
          </w:tcPr>
          <w:p w14:paraId="18458CFF">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支持Zstack、浪潮云等云平台通过容灾切换将云应急主机从灾备平台进行身份切换和任务解绑，转换成需要保护的客户端设备，继续进行业务保护</w:t>
            </w:r>
            <w:r>
              <w:rPr>
                <w:rFonts w:hint="eastAsia" w:ascii="宋体" w:hAnsi="宋体" w:eastAsia="宋体" w:cs="宋体"/>
                <w:sz w:val="24"/>
                <w:szCs w:val="24"/>
                <w:lang w:eastAsia="zh-CN"/>
              </w:rPr>
              <w:t>。</w:t>
            </w:r>
          </w:p>
        </w:tc>
      </w:tr>
      <w:tr w14:paraId="39F1F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87" w:type="dxa"/>
            <w:vMerge w:val="continue"/>
            <w:noWrap w:val="0"/>
            <w:vAlign w:val="center"/>
          </w:tcPr>
          <w:p w14:paraId="262B1596">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8615" w:type="dxa"/>
            <w:gridSpan w:val="2"/>
            <w:noWrap w:val="0"/>
            <w:vAlign w:val="center"/>
          </w:tcPr>
          <w:p w14:paraId="39FEAC30">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支持Cas、Uis、ovirt等云平台在进行云上应急时才使用云上的资源进行分钟级应急，无需一直占用云上资源，实现低成本的快照应急效果</w:t>
            </w:r>
            <w:r>
              <w:rPr>
                <w:rFonts w:hint="eastAsia" w:ascii="宋体" w:hAnsi="宋体" w:eastAsia="宋体" w:cs="宋体"/>
                <w:sz w:val="24"/>
                <w:szCs w:val="24"/>
                <w:lang w:eastAsia="zh-CN"/>
              </w:rPr>
              <w:t>。</w:t>
            </w:r>
          </w:p>
        </w:tc>
      </w:tr>
      <w:tr w14:paraId="2A15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87" w:type="dxa"/>
            <w:vMerge w:val="continue"/>
            <w:noWrap w:val="0"/>
            <w:vAlign w:val="center"/>
          </w:tcPr>
          <w:p w14:paraId="36193084">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8615" w:type="dxa"/>
            <w:gridSpan w:val="2"/>
            <w:noWrap w:val="0"/>
            <w:vAlign w:val="center"/>
          </w:tcPr>
          <w:p w14:paraId="06B9800B">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支持只有应急时使用计算资源，无需一直占用计算资源</w:t>
            </w:r>
            <w:r>
              <w:rPr>
                <w:rFonts w:hint="eastAsia" w:ascii="宋体" w:hAnsi="宋体" w:eastAsia="宋体" w:cs="宋体"/>
                <w:sz w:val="24"/>
                <w:szCs w:val="24"/>
                <w:lang w:eastAsia="zh-CN"/>
              </w:rPr>
              <w:t>。</w:t>
            </w:r>
          </w:p>
        </w:tc>
      </w:tr>
      <w:tr w14:paraId="4733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87" w:type="dxa"/>
            <w:vMerge w:val="continue"/>
            <w:noWrap w:val="0"/>
            <w:vAlign w:val="center"/>
          </w:tcPr>
          <w:p w14:paraId="567FF319">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8615" w:type="dxa"/>
            <w:gridSpan w:val="2"/>
            <w:noWrap w:val="0"/>
            <w:vAlign w:val="center"/>
          </w:tcPr>
          <w:p w14:paraId="301872CF">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支持云上容灾的同时进行数据恢复</w:t>
            </w:r>
            <w:r>
              <w:rPr>
                <w:rFonts w:hint="eastAsia" w:ascii="宋体" w:hAnsi="宋体" w:eastAsia="宋体" w:cs="宋体"/>
                <w:sz w:val="24"/>
                <w:szCs w:val="24"/>
                <w:lang w:eastAsia="zh-CN"/>
              </w:rPr>
              <w:t>。</w:t>
            </w:r>
          </w:p>
        </w:tc>
      </w:tr>
      <w:tr w14:paraId="2D21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87" w:type="dxa"/>
            <w:vMerge w:val="continue"/>
            <w:noWrap w:val="0"/>
            <w:vAlign w:val="center"/>
          </w:tcPr>
          <w:p w14:paraId="16B6A0A4">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8615" w:type="dxa"/>
            <w:gridSpan w:val="2"/>
            <w:noWrap w:val="0"/>
            <w:vAlign w:val="center"/>
          </w:tcPr>
          <w:p w14:paraId="62E9FA47">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支持创建应急资源按需使用和重复利用，无需重复创建资源和多次资源绑定</w:t>
            </w:r>
            <w:r>
              <w:rPr>
                <w:rFonts w:hint="eastAsia" w:ascii="宋体" w:hAnsi="宋体" w:eastAsia="宋体" w:cs="宋体"/>
                <w:sz w:val="24"/>
                <w:szCs w:val="24"/>
                <w:lang w:eastAsia="zh-CN"/>
              </w:rPr>
              <w:t>。</w:t>
            </w:r>
          </w:p>
        </w:tc>
      </w:tr>
      <w:tr w14:paraId="2A6A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87" w:type="dxa"/>
            <w:vMerge w:val="continue"/>
            <w:noWrap w:val="0"/>
            <w:vAlign w:val="center"/>
          </w:tcPr>
          <w:p w14:paraId="20FA2707">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8615" w:type="dxa"/>
            <w:gridSpan w:val="2"/>
            <w:noWrap w:val="0"/>
            <w:vAlign w:val="center"/>
          </w:tcPr>
          <w:p w14:paraId="64452D98">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支持内置虚拟化平台实现分钟级业务应急。</w:t>
            </w:r>
          </w:p>
        </w:tc>
      </w:tr>
      <w:tr w14:paraId="643AA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87" w:type="dxa"/>
            <w:vMerge w:val="continue"/>
            <w:noWrap w:val="0"/>
            <w:vAlign w:val="center"/>
          </w:tcPr>
          <w:p w14:paraId="79B666DE">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8615" w:type="dxa"/>
            <w:gridSpan w:val="2"/>
            <w:noWrap w:val="0"/>
            <w:vAlign w:val="center"/>
          </w:tcPr>
          <w:p w14:paraId="10E0EBB7">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演练应急主机支持通过脚本进行业务配置</w:t>
            </w:r>
            <w:r>
              <w:rPr>
                <w:rFonts w:hint="eastAsia" w:ascii="宋体" w:hAnsi="宋体" w:eastAsia="宋体" w:cs="宋体"/>
                <w:sz w:val="24"/>
                <w:szCs w:val="24"/>
                <w:lang w:eastAsia="zh-CN"/>
              </w:rPr>
              <w:t>。</w:t>
            </w:r>
          </w:p>
        </w:tc>
      </w:tr>
      <w:tr w14:paraId="5CB35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87" w:type="dxa"/>
            <w:vMerge w:val="continue"/>
            <w:noWrap w:val="0"/>
            <w:vAlign w:val="center"/>
          </w:tcPr>
          <w:p w14:paraId="00DC4C6F">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8615" w:type="dxa"/>
            <w:gridSpan w:val="2"/>
            <w:noWrap w:val="0"/>
            <w:vAlign w:val="center"/>
          </w:tcPr>
          <w:p w14:paraId="2D38AC84">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支持将本地容灾的演练应急主机产生的数据恢复到指定的目标设备</w:t>
            </w:r>
            <w:r>
              <w:rPr>
                <w:rFonts w:hint="eastAsia" w:ascii="宋体" w:hAnsi="宋体" w:eastAsia="宋体" w:cs="宋体"/>
                <w:sz w:val="24"/>
                <w:szCs w:val="24"/>
                <w:lang w:eastAsia="zh-CN"/>
              </w:rPr>
              <w:t>。</w:t>
            </w:r>
          </w:p>
        </w:tc>
      </w:tr>
      <w:tr w14:paraId="16458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87" w:type="dxa"/>
            <w:vMerge w:val="restart"/>
            <w:noWrap w:val="0"/>
            <w:vAlign w:val="center"/>
          </w:tcPr>
          <w:p w14:paraId="46EC2EB9">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异地容灾</w:t>
            </w:r>
          </w:p>
        </w:tc>
        <w:tc>
          <w:tcPr>
            <w:tcW w:w="8615" w:type="dxa"/>
            <w:gridSpan w:val="2"/>
            <w:noWrap w:val="0"/>
            <w:vAlign w:val="center"/>
          </w:tcPr>
          <w:p w14:paraId="639C59D0">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支持业务级异地容灾，满足不同业务的异地容灾需求</w:t>
            </w:r>
            <w:r>
              <w:rPr>
                <w:rFonts w:hint="eastAsia" w:ascii="宋体" w:hAnsi="宋体" w:eastAsia="宋体" w:cs="宋体"/>
                <w:sz w:val="24"/>
                <w:szCs w:val="24"/>
                <w:lang w:eastAsia="zh-CN"/>
              </w:rPr>
              <w:t>。</w:t>
            </w:r>
          </w:p>
        </w:tc>
      </w:tr>
      <w:tr w14:paraId="6FB6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87" w:type="dxa"/>
            <w:vMerge w:val="continue"/>
            <w:noWrap w:val="0"/>
            <w:vAlign w:val="center"/>
          </w:tcPr>
          <w:p w14:paraId="507BA78A">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8615" w:type="dxa"/>
            <w:gridSpan w:val="2"/>
            <w:noWrap w:val="0"/>
            <w:vAlign w:val="center"/>
          </w:tcPr>
          <w:p w14:paraId="0F36E040">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▲支持本地和异地之间互相进行数据复制，实现站点之间的双活异地容灾，数据在不同站点之间是实时可用的</w:t>
            </w:r>
            <w:r>
              <w:rPr>
                <w:rFonts w:hint="eastAsia" w:ascii="宋体" w:hAnsi="宋体" w:eastAsia="宋体" w:cs="宋体"/>
                <w:sz w:val="24"/>
                <w:szCs w:val="24"/>
                <w:lang w:eastAsia="zh-CN"/>
              </w:rPr>
              <w:t>。</w:t>
            </w:r>
            <w:r>
              <w:rPr>
                <w:rFonts w:hint="eastAsia" w:ascii="宋体" w:hAnsi="宋体" w:eastAsia="宋体" w:cs="宋体"/>
                <w:b/>
                <w:bCs/>
                <w:sz w:val="24"/>
                <w:szCs w:val="24"/>
              </w:rPr>
              <w:t>（提供站点双活本异地容灾相关功能截图）</w:t>
            </w:r>
          </w:p>
        </w:tc>
      </w:tr>
      <w:tr w14:paraId="251F3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7" w:type="dxa"/>
            <w:vMerge w:val="continue"/>
            <w:noWrap w:val="0"/>
            <w:vAlign w:val="center"/>
          </w:tcPr>
          <w:p w14:paraId="2E60E350">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8615" w:type="dxa"/>
            <w:gridSpan w:val="2"/>
            <w:noWrap w:val="0"/>
            <w:vAlign w:val="center"/>
          </w:tcPr>
          <w:p w14:paraId="4E74FCC6">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支持设置不同的分钟、小时等不同数据复制的频率</w:t>
            </w:r>
            <w:r>
              <w:rPr>
                <w:rFonts w:hint="eastAsia" w:ascii="宋体" w:hAnsi="宋体" w:eastAsia="宋体" w:cs="宋体"/>
                <w:sz w:val="24"/>
                <w:szCs w:val="24"/>
                <w:lang w:eastAsia="zh-CN"/>
              </w:rPr>
              <w:t>。</w:t>
            </w:r>
          </w:p>
        </w:tc>
      </w:tr>
      <w:tr w14:paraId="55D1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87" w:type="dxa"/>
            <w:vMerge w:val="continue"/>
            <w:noWrap w:val="0"/>
            <w:vAlign w:val="center"/>
          </w:tcPr>
          <w:p w14:paraId="6D747EAE">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8615" w:type="dxa"/>
            <w:gridSpan w:val="2"/>
            <w:noWrap w:val="0"/>
            <w:vAlign w:val="center"/>
          </w:tcPr>
          <w:p w14:paraId="054FD2C0">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支持传输加密保障传输数据的安全性。支持传输压缩、存储重删、存储压缩减少网络和存储资源占用</w:t>
            </w:r>
            <w:r>
              <w:rPr>
                <w:rFonts w:hint="eastAsia" w:ascii="宋体" w:hAnsi="宋体" w:eastAsia="宋体" w:cs="宋体"/>
                <w:sz w:val="24"/>
                <w:szCs w:val="24"/>
                <w:lang w:eastAsia="zh-CN"/>
              </w:rPr>
              <w:t>。</w:t>
            </w:r>
          </w:p>
        </w:tc>
      </w:tr>
      <w:tr w14:paraId="788AE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87" w:type="dxa"/>
            <w:vMerge w:val="continue"/>
            <w:noWrap w:val="0"/>
            <w:vAlign w:val="center"/>
          </w:tcPr>
          <w:p w14:paraId="3A5882ED">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8615" w:type="dxa"/>
            <w:gridSpan w:val="2"/>
            <w:noWrap w:val="0"/>
            <w:vAlign w:val="center"/>
          </w:tcPr>
          <w:p w14:paraId="6F531FF3">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支持全局限速和自定义时间段限速，在业务高峰期减少站点复制对两个站点之间网络资源的消耗</w:t>
            </w:r>
            <w:r>
              <w:rPr>
                <w:rFonts w:hint="eastAsia" w:ascii="宋体" w:hAnsi="宋体" w:eastAsia="宋体" w:cs="宋体"/>
                <w:sz w:val="24"/>
                <w:szCs w:val="24"/>
                <w:lang w:eastAsia="zh-CN"/>
              </w:rPr>
              <w:t>。</w:t>
            </w:r>
          </w:p>
        </w:tc>
      </w:tr>
      <w:tr w14:paraId="02C26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87" w:type="dxa"/>
            <w:noWrap w:val="0"/>
            <w:vAlign w:val="center"/>
          </w:tcPr>
          <w:p w14:paraId="0FB81193">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兼容性</w:t>
            </w:r>
          </w:p>
        </w:tc>
        <w:tc>
          <w:tcPr>
            <w:tcW w:w="8615" w:type="dxa"/>
            <w:gridSpan w:val="2"/>
            <w:noWrap w:val="0"/>
            <w:vAlign w:val="center"/>
          </w:tcPr>
          <w:p w14:paraId="4A1F1936">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支持windows2003/2008/2012/2016/2019/2022/7/8/10</w:t>
            </w:r>
          </w:p>
          <w:p w14:paraId="52BA9079">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支持X86架构下的RedHat4/5/6/7/8/9、Centos 4/5/6/7/8、NeoKylin 3/7/10、KylinSec 3、中科方德4、Rocky 8、Suse10/11/12/15、Ubuntu12/14/16/18/20/22、kylin3.14/3.16、openEuler 22、uos20</w:t>
            </w:r>
          </w:p>
          <w:p w14:paraId="23897460">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支持ARM架构下的openEuler 22、uos 20、kylin V10、银河麒麟V7、中标麒麟V7等不同架构和不同操作系统的客户端统一保护和管理</w:t>
            </w:r>
            <w:r>
              <w:rPr>
                <w:rFonts w:hint="eastAsia" w:ascii="宋体" w:hAnsi="宋体" w:eastAsia="宋体" w:cs="宋体"/>
                <w:sz w:val="24"/>
                <w:szCs w:val="24"/>
                <w:lang w:eastAsia="zh-CN"/>
              </w:rPr>
              <w:t>。</w:t>
            </w:r>
          </w:p>
        </w:tc>
      </w:tr>
      <w:tr w14:paraId="1F5D3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87" w:type="dxa"/>
            <w:noWrap w:val="0"/>
            <w:vAlign w:val="center"/>
          </w:tcPr>
          <w:p w14:paraId="2128253F">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授权</w:t>
            </w:r>
          </w:p>
        </w:tc>
        <w:tc>
          <w:tcPr>
            <w:tcW w:w="8615" w:type="dxa"/>
            <w:gridSpan w:val="2"/>
            <w:noWrap w:val="0"/>
            <w:vAlign w:val="center"/>
          </w:tcPr>
          <w:p w14:paraId="02820530">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提供200个主机应急接管授权，提供虚拟机操作系统、业务应用、数据等的整机实时备份保护，业务应急接管。 </w:t>
            </w:r>
          </w:p>
        </w:tc>
      </w:tr>
      <w:tr w14:paraId="4BC0B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587" w:type="dxa"/>
            <w:vMerge w:val="restart"/>
            <w:noWrap w:val="0"/>
            <w:vAlign w:val="center"/>
          </w:tcPr>
          <w:p w14:paraId="18F7927A">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产品服务</w:t>
            </w:r>
          </w:p>
        </w:tc>
        <w:tc>
          <w:tcPr>
            <w:tcW w:w="1047" w:type="dxa"/>
            <w:vMerge w:val="restart"/>
            <w:noWrap w:val="0"/>
            <w:vAlign w:val="center"/>
          </w:tcPr>
          <w:p w14:paraId="19E9C568">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产品基础服务</w:t>
            </w:r>
          </w:p>
        </w:tc>
        <w:tc>
          <w:tcPr>
            <w:tcW w:w="7568" w:type="dxa"/>
            <w:noWrap w:val="0"/>
            <w:vAlign w:val="center"/>
          </w:tcPr>
          <w:p w14:paraId="036CC93B">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1）软件升级服务：在服务年限内提供免费产品版本升级。</w:t>
            </w:r>
          </w:p>
          <w:p w14:paraId="201A1128">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2）技术支持服务：提供技术咨询，产品使用培训，安装指导，容灾恢复演练</w:t>
            </w:r>
            <w:r>
              <w:rPr>
                <w:rFonts w:hint="eastAsia" w:ascii="宋体" w:hAnsi="宋体" w:eastAsia="宋体" w:cs="宋体"/>
                <w:color w:val="auto"/>
                <w:sz w:val="24"/>
                <w:szCs w:val="24"/>
                <w:lang w:eastAsia="zh-CN"/>
              </w:rPr>
              <w:t>；</w:t>
            </w:r>
          </w:p>
          <w:p w14:paraId="7DE3DE6F">
            <w:pPr>
              <w:snapToGrid w:val="0"/>
              <w:spacing w:line="46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3）产品基础服务提供支持形式包括：电话咨询，邮件等，提供7*24小时支持响应</w:t>
            </w:r>
            <w:r>
              <w:rPr>
                <w:rFonts w:hint="eastAsia" w:ascii="宋体" w:hAnsi="宋体" w:eastAsia="宋体" w:cs="宋体"/>
                <w:color w:val="auto"/>
                <w:sz w:val="24"/>
                <w:szCs w:val="24"/>
                <w:lang w:eastAsia="zh-CN"/>
              </w:rPr>
              <w:t>。</w:t>
            </w:r>
          </w:p>
          <w:p w14:paraId="1EEF7261">
            <w:pPr>
              <w:snapToGrid w:val="0"/>
              <w:spacing w:line="460" w:lineRule="exact"/>
              <w:jc w:val="left"/>
              <w:rPr>
                <w:rFonts w:hint="eastAsia" w:ascii="宋体" w:hAnsi="宋体" w:cs="宋体"/>
                <w:color w:val="auto"/>
                <w:sz w:val="24"/>
                <w:szCs w:val="24"/>
              </w:rPr>
            </w:pPr>
            <w:r>
              <w:rPr>
                <w:rFonts w:hint="eastAsia" w:ascii="宋体" w:hAnsi="宋体" w:cs="宋体"/>
                <w:color w:val="auto"/>
                <w:sz w:val="24"/>
                <w:szCs w:val="24"/>
              </w:rPr>
              <w:t>4</w:t>
            </w:r>
            <w:r>
              <w:rPr>
                <w:rFonts w:hint="eastAsia" w:ascii="宋体" w:hAnsi="宋体" w:cs="宋体"/>
                <w:color w:val="auto"/>
                <w:sz w:val="24"/>
                <w:szCs w:val="24"/>
                <w:lang w:eastAsia="zh-CN"/>
              </w:rPr>
              <w:t>）</w:t>
            </w:r>
            <w:r>
              <w:rPr>
                <w:rFonts w:hint="eastAsia" w:ascii="宋体" w:hAnsi="宋体" w:cs="宋体"/>
                <w:color w:val="auto"/>
                <w:sz w:val="24"/>
                <w:szCs w:val="24"/>
              </w:rPr>
              <w:t>服务期内每年不少于4次的定期巡检服务。</w:t>
            </w:r>
          </w:p>
          <w:p w14:paraId="3E8B4339">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5</w:t>
            </w:r>
            <w:r>
              <w:rPr>
                <w:rFonts w:hint="eastAsia" w:ascii="宋体" w:hAnsi="宋体" w:cs="宋体"/>
                <w:color w:val="auto"/>
                <w:sz w:val="24"/>
                <w:szCs w:val="24"/>
                <w:lang w:eastAsia="zh-CN"/>
              </w:rPr>
              <w:t>）</w:t>
            </w:r>
            <w:r>
              <w:rPr>
                <w:rFonts w:hint="eastAsia" w:ascii="宋体" w:hAnsi="宋体" w:cs="宋体"/>
                <w:color w:val="auto"/>
                <w:sz w:val="24"/>
                <w:szCs w:val="24"/>
              </w:rPr>
              <w:t>服务期内每年不少于1次的应急演练服务，并出具应急演练报告。</w:t>
            </w:r>
          </w:p>
        </w:tc>
      </w:tr>
      <w:tr w14:paraId="5BD33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587" w:type="dxa"/>
            <w:vMerge w:val="continue"/>
            <w:noWrap w:val="0"/>
            <w:vAlign w:val="center"/>
          </w:tcPr>
          <w:p w14:paraId="36E2A29A">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1047" w:type="dxa"/>
            <w:vMerge w:val="continue"/>
            <w:noWrap w:val="0"/>
            <w:vAlign w:val="center"/>
          </w:tcPr>
          <w:p w14:paraId="682B821F">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7568" w:type="dxa"/>
            <w:noWrap w:val="0"/>
            <w:vAlign w:val="center"/>
          </w:tcPr>
          <w:p w14:paraId="3FBCC7DC">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根据交付场景需要提供远程或现场首次安装交付服务，提供交付方案，完成设备上架，客户端和管理平台安装，首次安装灾备配置和部署，完成首次灾备演练测试，完成交付报告。</w:t>
            </w:r>
          </w:p>
        </w:tc>
      </w:tr>
      <w:tr w14:paraId="18BF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587" w:type="dxa"/>
            <w:vMerge w:val="continue"/>
            <w:noWrap w:val="0"/>
            <w:vAlign w:val="center"/>
          </w:tcPr>
          <w:p w14:paraId="5809A0B3">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1047" w:type="dxa"/>
            <w:noWrap w:val="0"/>
            <w:vAlign w:val="center"/>
          </w:tcPr>
          <w:p w14:paraId="4715B8CE">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首次安装服务</w:t>
            </w:r>
          </w:p>
        </w:tc>
        <w:tc>
          <w:tcPr>
            <w:tcW w:w="7568" w:type="dxa"/>
            <w:noWrap w:val="0"/>
            <w:vAlign w:val="center"/>
          </w:tcPr>
          <w:p w14:paraId="442A808C">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提供现场技术支持服务，24小时到达现场；现场专家服务根据需求提供：技术培训，故障排除，巡检，灾备演练，紧急救援等服务。同时现在专家服务也提供云迁移相关服务。巡检服务，产品演练，现场支持等</w:t>
            </w:r>
            <w:r>
              <w:rPr>
                <w:rFonts w:hint="eastAsia" w:ascii="宋体" w:hAnsi="宋体" w:eastAsia="宋体" w:cs="宋体"/>
                <w:sz w:val="24"/>
                <w:szCs w:val="24"/>
                <w:lang w:eastAsia="zh-CN"/>
              </w:rPr>
              <w:t>。</w:t>
            </w:r>
          </w:p>
        </w:tc>
      </w:tr>
      <w:tr w14:paraId="5E895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587" w:type="dxa"/>
            <w:vMerge w:val="continue"/>
            <w:noWrap w:val="0"/>
            <w:vAlign w:val="center"/>
          </w:tcPr>
          <w:p w14:paraId="56FADBD5">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p>
        </w:tc>
        <w:tc>
          <w:tcPr>
            <w:tcW w:w="1047" w:type="dxa"/>
            <w:noWrap w:val="0"/>
            <w:vAlign w:val="center"/>
          </w:tcPr>
          <w:p w14:paraId="78768E29">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现场专家服务</w:t>
            </w:r>
          </w:p>
        </w:tc>
        <w:tc>
          <w:tcPr>
            <w:tcW w:w="7568" w:type="dxa"/>
            <w:noWrap w:val="0"/>
            <w:vAlign w:val="center"/>
          </w:tcPr>
          <w:p w14:paraId="6FEC2424">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软件质保期1年 </w:t>
            </w:r>
            <w:r>
              <w:rPr>
                <w:rFonts w:hint="eastAsia" w:ascii="宋体" w:hAnsi="宋体" w:eastAsia="宋体" w:cs="宋体"/>
                <w:sz w:val="24"/>
                <w:szCs w:val="24"/>
                <w:lang w:eastAsia="zh-CN"/>
              </w:rPr>
              <w:t>；</w:t>
            </w:r>
          </w:p>
          <w:p w14:paraId="039B38FF">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7*24</w:t>
            </w:r>
            <w:r>
              <w:rPr>
                <w:rFonts w:hint="eastAsia" w:ascii="宋体" w:hAnsi="宋体" w:eastAsia="宋体" w:cs="宋体"/>
                <w:sz w:val="24"/>
                <w:szCs w:val="24"/>
                <w:lang w:val="en-US" w:eastAsia="zh-CN"/>
              </w:rPr>
              <w:t>小时</w:t>
            </w:r>
            <w:r>
              <w:rPr>
                <w:rFonts w:hint="eastAsia" w:ascii="宋体" w:hAnsi="宋体" w:eastAsia="宋体" w:cs="宋体"/>
                <w:sz w:val="24"/>
                <w:szCs w:val="24"/>
              </w:rPr>
              <w:t>非现场支持，支持方式包括电话、邮件、远程协助；</w:t>
            </w:r>
          </w:p>
          <w:p w14:paraId="1ECA59E2">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提供紧急情况下，现场技术支持服务，24小时到达现场</w:t>
            </w:r>
            <w:r>
              <w:rPr>
                <w:rFonts w:hint="eastAsia" w:ascii="宋体" w:hAnsi="宋体" w:eastAsia="宋体" w:cs="宋体"/>
                <w:sz w:val="24"/>
                <w:szCs w:val="24"/>
                <w:lang w:eastAsia="zh-CN"/>
              </w:rPr>
              <w:t>。</w:t>
            </w:r>
          </w:p>
        </w:tc>
      </w:tr>
    </w:tbl>
    <w:p w14:paraId="42167FAE">
      <w:pPr>
        <w:pStyle w:val="3"/>
        <w:pageBreakBefore w:val="0"/>
        <w:kinsoku/>
        <w:wordWrap/>
        <w:overflowPunct/>
        <w:topLinePunct w:val="0"/>
        <w:autoSpaceDE/>
        <w:autoSpaceDN/>
        <w:bidi w:val="0"/>
        <w:adjustRightInd/>
        <w:snapToGrid/>
        <w:spacing w:line="460" w:lineRule="exact"/>
        <w:textAlignment w:val="auto"/>
        <w:rPr>
          <w:rFonts w:hint="eastAsia" w:ascii="宋体" w:hAnsi="宋体"/>
          <w:b/>
          <w:sz w:val="24"/>
          <w:highlight w:val="none"/>
        </w:rPr>
      </w:pPr>
    </w:p>
    <w:p w14:paraId="241758BE">
      <w:pPr>
        <w:pStyle w:val="3"/>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4"/>
          <w:szCs w:val="24"/>
        </w:rPr>
      </w:pPr>
      <w:r>
        <w:rPr>
          <w:rFonts w:hint="eastAsia" w:ascii="宋体" w:hAnsi="宋体"/>
          <w:b/>
          <w:sz w:val="24"/>
          <w:highlight w:val="none"/>
        </w:rPr>
        <w:t>注：</w:t>
      </w:r>
    </w:p>
    <w:p w14:paraId="78E5DD83">
      <w:pPr>
        <w:pStyle w:val="3"/>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b/>
          <w:sz w:val="24"/>
          <w:highlight w:val="none"/>
          <w:lang w:val="en-US" w:eastAsia="zh-CN"/>
        </w:rPr>
      </w:pPr>
      <w:r>
        <w:rPr>
          <w:rFonts w:hint="eastAsia" w:ascii="宋体" w:hAnsi="宋体"/>
          <w:b/>
          <w:sz w:val="24"/>
          <w:highlight w:val="none"/>
          <w:lang w:val="en-US" w:eastAsia="zh-CN"/>
        </w:rPr>
        <w:t>1、标“▲”指标代表重要指标，允许负偏离，负偏离将影响其评审得分，但不作无效响应处理。</w:t>
      </w:r>
    </w:p>
    <w:p w14:paraId="174EED13">
      <w:pPr>
        <w:pStyle w:val="3"/>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b/>
          <w:sz w:val="24"/>
          <w:highlight w:val="none"/>
          <w:lang w:val="en-US" w:eastAsia="zh-CN"/>
        </w:rPr>
      </w:pPr>
      <w:r>
        <w:rPr>
          <w:rFonts w:hint="eastAsia" w:ascii="宋体" w:hAnsi="宋体"/>
          <w:b/>
          <w:sz w:val="24"/>
          <w:highlight w:val="none"/>
          <w:lang w:val="en-US" w:eastAsia="zh-CN"/>
        </w:rPr>
        <w:t>2、标“▲”指标需提供参数中要求的证明材料。</w:t>
      </w:r>
    </w:p>
    <w:p w14:paraId="6F4CBA3D">
      <w:pPr>
        <w:pStyle w:val="3"/>
        <w:keepNext w:val="0"/>
        <w:keepLines w:val="0"/>
        <w:pageBreakBefore w:val="0"/>
        <w:widowControl/>
        <w:kinsoku/>
        <w:wordWrap/>
        <w:overflowPunct/>
        <w:topLinePunct w:val="0"/>
        <w:autoSpaceDE/>
        <w:autoSpaceDN/>
        <w:bidi w:val="0"/>
        <w:adjustRightInd/>
        <w:snapToGrid/>
        <w:spacing w:line="460" w:lineRule="exact"/>
        <w:textAlignment w:val="auto"/>
      </w:pPr>
      <w:r>
        <w:rPr>
          <w:rFonts w:hint="eastAsia" w:ascii="宋体" w:hAnsi="宋体"/>
          <w:b/>
          <w:sz w:val="24"/>
          <w:highlight w:val="none"/>
          <w:lang w:val="en-US" w:eastAsia="zh-CN"/>
        </w:rPr>
        <w:t>3、</w:t>
      </w:r>
      <w:r>
        <w:rPr>
          <w:rFonts w:hint="eastAsia" w:ascii="宋体" w:hAnsi="宋体" w:eastAsia="宋体" w:cs="宋体"/>
          <w:b/>
          <w:bCs/>
          <w:sz w:val="24"/>
          <w:szCs w:val="24"/>
          <w:lang w:eastAsia="zh-CN"/>
        </w:rPr>
        <w:t>以上所有未标符号</w:t>
      </w:r>
      <w:r>
        <w:rPr>
          <w:rFonts w:hint="eastAsia" w:ascii="宋体" w:hAnsi="宋体" w:eastAsia="宋体" w:cs="宋体"/>
          <w:b/>
          <w:bCs/>
          <w:color w:val="auto"/>
          <w:sz w:val="24"/>
          <w:szCs w:val="24"/>
          <w:lang w:eastAsia="zh-CN"/>
        </w:rPr>
        <w:t>的技术要求</w:t>
      </w:r>
      <w:r>
        <w:rPr>
          <w:rFonts w:hint="eastAsia" w:ascii="宋体" w:hAnsi="宋体"/>
          <w:b/>
          <w:sz w:val="24"/>
          <w:highlight w:val="none"/>
        </w:rPr>
        <w:t>为实质性要求，必须完全满足，否则响应无效。</w:t>
      </w: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AB6915"/>
    <w:rsid w:val="52AB6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9"/>
    <w:pPr>
      <w:keepNext/>
      <w:keepLines/>
      <w:spacing w:before="260" w:after="260" w:line="500" w:lineRule="exact"/>
      <w:jc w:val="center"/>
      <w:outlineLvl w:val="1"/>
    </w:pPr>
    <w:rPr>
      <w:rFonts w:ascii="Cambria" w:hAnsi="Cambria"/>
      <w:b/>
      <w:bCs/>
      <w:kern w:val="0"/>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ind w:firstLine="420"/>
      <w:jc w:val="left"/>
    </w:pPr>
    <w:rPr>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2024-12-19T09:55:00Z</dcterms:created>
  <dc:creator>admin</dc:creator>
  <cp:lastModifiedBy>admin</cp:lastModifiedBy>
  <dcterms:modified xsi:type="dcterms:W3CDTF">2024-12-19T09:55:51Z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512FB5E77D0F48E2A0257CECC58F5295_11</vt:lpwstr>
  </property>
</Properties>
</file>