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D78EB">
      <w:pPr>
        <w:pStyle w:val="3"/>
        <w:jc w:val="center"/>
        <w:rPr>
          <w:rFonts w:hint="eastAsia" w:ascii="方正小标宋简体" w:hAnsi="方正小标宋简体" w:eastAsia="方正小标宋简体" w:cs="Arial"/>
          <w:b w:val="0"/>
          <w:bCs w:val="0"/>
          <w:color w:val="auto"/>
          <w:spacing w:val="0"/>
          <w:sz w:val="40"/>
          <w:szCs w:val="40"/>
          <w:lang w:eastAsia="zh-CN"/>
        </w:rPr>
      </w:pPr>
      <w:bookmarkStart w:id="0" w:name="_Toc22936"/>
      <w:bookmarkStart w:id="1" w:name="_Toc24956"/>
      <w:r>
        <w:rPr>
          <w:rFonts w:hint="eastAsia" w:ascii="方正小标宋简体" w:hAnsi="方正小标宋简体" w:eastAsia="方正小标宋简体" w:cs="Arial"/>
          <w:b w:val="0"/>
          <w:bCs w:val="0"/>
          <w:color w:val="auto"/>
          <w:spacing w:val="0"/>
          <w:sz w:val="40"/>
          <w:szCs w:val="40"/>
          <w:lang w:eastAsia="zh-CN"/>
        </w:rPr>
        <w:t>南昌医学院医学类题库系统采购项目</w:t>
      </w:r>
    </w:p>
    <w:p w14:paraId="34E9B106">
      <w:pPr>
        <w:pStyle w:val="3"/>
        <w:jc w:val="center"/>
        <w:rPr>
          <w:rFonts w:hint="eastAsia" w:ascii="方正小标宋简体" w:hAnsi="方正小标宋简体" w:eastAsia="方正小标宋简体" w:cs="Arial"/>
          <w:b w:val="0"/>
          <w:bCs w:val="0"/>
          <w:color w:val="auto"/>
          <w:spacing w:val="0"/>
          <w:sz w:val="40"/>
          <w:szCs w:val="40"/>
          <w:lang w:eastAsia="zh-CN"/>
        </w:rPr>
      </w:pPr>
      <w:r>
        <w:rPr>
          <w:rFonts w:hint="eastAsia" w:ascii="方正小标宋简体" w:hAnsi="方正小标宋简体" w:eastAsia="方正小标宋简体" w:cs="Arial"/>
          <w:b w:val="0"/>
          <w:bCs w:val="0"/>
          <w:color w:val="auto"/>
          <w:spacing w:val="0"/>
          <w:sz w:val="40"/>
          <w:szCs w:val="40"/>
          <w:lang w:eastAsia="zh-CN"/>
        </w:rPr>
        <w:t>项目信息</w:t>
      </w:r>
    </w:p>
    <w:p w14:paraId="04CDC3FA">
      <w:pPr>
        <w:keepNext/>
        <w:keepLines/>
        <w:pageBreakBefore w:val="0"/>
        <w:widowControl/>
        <w:kinsoku/>
        <w:wordWrap/>
        <w:overflowPunct/>
        <w:topLinePunct w:val="0"/>
        <w:autoSpaceDE w:val="0"/>
        <w:autoSpaceDN w:val="0"/>
        <w:bidi w:val="0"/>
        <w:adjustRightInd w:val="0"/>
        <w:snapToGrid w:val="0"/>
        <w:textAlignment w:val="baseline"/>
        <w:outlineLvl w:val="9"/>
        <w:rPr>
          <w:rFonts w:hint="eastAsia"/>
          <w:b w:val="0"/>
          <w:bCs w:val="0"/>
          <w:color w:val="auto"/>
          <w:lang w:val="en-US" w:eastAsia="zh-CN"/>
        </w:rPr>
      </w:pPr>
    </w:p>
    <w:p w14:paraId="21402EBF">
      <w:pPr>
        <w:pStyle w:val="3"/>
        <w:rPr>
          <w:b/>
          <w:bCs/>
          <w:color w:val="auto"/>
          <w:lang w:eastAsia="zh-CN"/>
        </w:rPr>
      </w:pPr>
      <w:r>
        <w:rPr>
          <w:rFonts w:hint="eastAsia"/>
          <w:b/>
          <w:bCs/>
          <w:color w:val="auto"/>
          <w:lang w:val="en-US" w:eastAsia="zh-CN"/>
        </w:rPr>
        <w:t>一、</w:t>
      </w:r>
      <w:r>
        <w:rPr>
          <w:rFonts w:hint="eastAsia"/>
          <w:b/>
          <w:bCs/>
          <w:color w:val="auto"/>
          <w:lang w:eastAsia="zh-CN"/>
        </w:rPr>
        <w:t>项目基本情况</w:t>
      </w:r>
      <w:bookmarkEnd w:id="0"/>
      <w:bookmarkEnd w:id="1"/>
    </w:p>
    <w:p w14:paraId="32F6C6DB">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项目名称：</w:t>
      </w:r>
      <w:r>
        <w:rPr>
          <w:rFonts w:hint="eastAsia" w:ascii="宋体" w:hAnsi="宋体"/>
          <w:b w:val="0"/>
          <w:bCs w:val="0"/>
          <w:color w:val="auto"/>
          <w:spacing w:val="-7"/>
          <w:lang w:eastAsia="zh-CN"/>
        </w:rPr>
        <w:t>南昌医学院医学类题库系统采购项目</w:t>
      </w:r>
    </w:p>
    <w:p w14:paraId="123E7C30">
      <w:pPr>
        <w:widowControl w:val="0"/>
        <w:kinsoku/>
        <w:wordWrap w:val="0"/>
        <w:spacing w:line="460" w:lineRule="exact"/>
        <w:ind w:firstLine="452" w:firstLineChars="200"/>
        <w:rPr>
          <w:rFonts w:hint="default" w:ascii="宋体" w:hAnsi="宋体"/>
          <w:b w:val="0"/>
          <w:bCs w:val="0"/>
          <w:color w:val="auto"/>
          <w:spacing w:val="-7"/>
          <w:lang w:val="en-US" w:eastAsia="zh-CN"/>
        </w:rPr>
      </w:pPr>
      <w:r>
        <w:rPr>
          <w:rFonts w:hint="eastAsia" w:ascii="宋体" w:hAnsi="宋体"/>
          <w:b w:val="0"/>
          <w:bCs w:val="0"/>
          <w:color w:val="auto"/>
          <w:spacing w:val="-7"/>
          <w:lang w:eastAsia="zh-CN"/>
        </w:rPr>
        <w:t>采购方式：</w:t>
      </w:r>
      <w:r>
        <w:rPr>
          <w:rFonts w:hint="eastAsia" w:ascii="宋体" w:hAnsi="宋体"/>
          <w:b w:val="0"/>
          <w:bCs w:val="0"/>
          <w:color w:val="auto"/>
          <w:spacing w:val="-7"/>
          <w:lang w:val="en-US" w:eastAsia="zh-CN"/>
        </w:rPr>
        <w:t>竞争性磋商</w:t>
      </w:r>
    </w:p>
    <w:p w14:paraId="63C860E0">
      <w:pPr>
        <w:widowControl w:val="0"/>
        <w:kinsoku/>
        <w:wordWrap w:val="0"/>
        <w:spacing w:line="460" w:lineRule="exact"/>
        <w:ind w:firstLine="460" w:firstLineChars="200"/>
        <w:rPr>
          <w:rFonts w:hint="eastAsia" w:ascii="宋体" w:hAnsi="宋体"/>
          <w:b w:val="0"/>
          <w:bCs w:val="0"/>
          <w:color w:val="auto"/>
          <w:spacing w:val="-5"/>
        </w:rPr>
      </w:pPr>
      <w:r>
        <w:rPr>
          <w:rFonts w:hint="eastAsia" w:ascii="宋体" w:hAnsi="宋体"/>
          <w:b w:val="0"/>
          <w:bCs w:val="0"/>
          <w:color w:val="auto"/>
          <w:spacing w:val="-5"/>
        </w:rPr>
        <w:t>合同履行期限：签订合同后</w:t>
      </w:r>
      <w:r>
        <w:rPr>
          <w:rFonts w:hint="eastAsia" w:ascii="宋体" w:hAnsi="宋体"/>
          <w:b w:val="0"/>
          <w:bCs w:val="0"/>
          <w:color w:val="auto"/>
          <w:spacing w:val="-5"/>
          <w:lang w:val="en-US" w:eastAsia="zh-CN"/>
        </w:rPr>
        <w:t>7个日历日</w:t>
      </w:r>
      <w:r>
        <w:rPr>
          <w:rFonts w:hint="eastAsia" w:ascii="宋体" w:hAnsi="宋体"/>
          <w:b w:val="0"/>
          <w:bCs w:val="0"/>
          <w:color w:val="auto"/>
          <w:spacing w:val="-5"/>
        </w:rPr>
        <w:t>内交付使用</w:t>
      </w:r>
      <w:r>
        <w:rPr>
          <w:rFonts w:hint="eastAsia" w:ascii="宋体" w:hAnsi="宋体"/>
          <w:b w:val="0"/>
          <w:bCs w:val="0"/>
          <w:color w:val="auto"/>
          <w:spacing w:val="-5"/>
          <w:lang w:eastAsia="zh-CN"/>
        </w:rPr>
        <w:t>。</w:t>
      </w:r>
    </w:p>
    <w:p w14:paraId="206BE769">
      <w:pPr>
        <w:widowControl w:val="0"/>
        <w:kinsoku/>
        <w:wordWrap w:val="0"/>
        <w:spacing w:line="460" w:lineRule="exact"/>
        <w:ind w:firstLine="460" w:firstLineChars="200"/>
        <w:rPr>
          <w:rFonts w:hint="eastAsia" w:ascii="宋体" w:hAnsi="宋体"/>
          <w:b w:val="0"/>
          <w:bCs w:val="0"/>
          <w:color w:val="auto"/>
          <w:spacing w:val="-5"/>
          <w:u w:val="single"/>
          <w:lang w:eastAsia="zh-CN"/>
        </w:rPr>
      </w:pPr>
      <w:r>
        <w:rPr>
          <w:rFonts w:hint="eastAsia" w:ascii="宋体" w:hAnsi="宋体"/>
          <w:b w:val="0"/>
          <w:bCs w:val="0"/>
          <w:color w:val="auto"/>
          <w:spacing w:val="-5"/>
        </w:rPr>
        <w:t>本项目不接受联合体</w:t>
      </w:r>
      <w:r>
        <w:rPr>
          <w:rFonts w:hint="eastAsia" w:ascii="宋体" w:hAnsi="宋体"/>
          <w:b w:val="0"/>
          <w:bCs w:val="0"/>
          <w:color w:val="auto"/>
          <w:spacing w:val="-5"/>
          <w:lang w:val="en-US" w:eastAsia="zh-CN"/>
        </w:rPr>
        <w:t>投标</w:t>
      </w:r>
      <w:r>
        <w:rPr>
          <w:rFonts w:hint="eastAsia" w:ascii="宋体" w:hAnsi="宋体"/>
          <w:b w:val="0"/>
          <w:bCs w:val="0"/>
          <w:color w:val="auto"/>
          <w:spacing w:val="-5"/>
        </w:rPr>
        <w:t>。</w:t>
      </w:r>
    </w:p>
    <w:p w14:paraId="31175C10">
      <w:pPr>
        <w:pStyle w:val="3"/>
        <w:rPr>
          <w:b/>
          <w:bCs/>
          <w:color w:val="auto"/>
          <w:lang w:eastAsia="zh-CN"/>
        </w:rPr>
      </w:pPr>
      <w:bookmarkStart w:id="2" w:name="_Toc5686"/>
      <w:bookmarkStart w:id="3" w:name="_Toc22458"/>
      <w:r>
        <w:rPr>
          <w:rFonts w:hint="eastAsia"/>
          <w:b/>
          <w:bCs/>
          <w:color w:val="auto"/>
          <w:lang w:val="en-US" w:eastAsia="zh-CN"/>
        </w:rPr>
        <w:t>二、</w:t>
      </w:r>
      <w:r>
        <w:rPr>
          <w:rFonts w:hint="eastAsia"/>
          <w:b/>
          <w:bCs/>
          <w:color w:val="auto"/>
          <w:lang w:eastAsia="zh-CN"/>
        </w:rPr>
        <w:t>投标人的资格要</w:t>
      </w:r>
      <w:r>
        <w:rPr>
          <w:rFonts w:hint="eastAsia"/>
          <w:b/>
          <w:bCs/>
          <w:color w:val="auto"/>
          <w:lang w:eastAsia="zh-CN"/>
        </w:rPr>
        <w:t>求</w:t>
      </w:r>
      <w:bookmarkEnd w:id="2"/>
      <w:bookmarkEnd w:id="3"/>
    </w:p>
    <w:p w14:paraId="0D9EBD9B">
      <w:pPr>
        <w:widowControl w:val="0"/>
        <w:kinsoku/>
        <w:wordWrap w:val="0"/>
        <w:spacing w:line="460" w:lineRule="exact"/>
        <w:ind w:firstLine="452" w:firstLineChars="200"/>
        <w:rPr>
          <w:rFonts w:hint="eastAsia" w:ascii="宋体" w:hAnsi="宋体"/>
          <w:b w:val="0"/>
          <w:bCs w:val="0"/>
          <w:color w:val="auto"/>
          <w:spacing w:val="-7"/>
          <w:lang w:eastAsia="zh-CN"/>
        </w:rPr>
      </w:pPr>
      <w:bookmarkStart w:id="4" w:name="_Toc24924"/>
      <w:bookmarkStart w:id="5" w:name="_Toc2349"/>
      <w:bookmarkStart w:id="6" w:name="_Toc29296"/>
      <w:bookmarkStart w:id="7" w:name="_Toc14693"/>
      <w:bookmarkStart w:id="8" w:name="_Toc25545"/>
      <w:r>
        <w:rPr>
          <w:rFonts w:hint="eastAsia" w:ascii="宋体" w:hAnsi="宋体"/>
          <w:b w:val="0"/>
          <w:bCs w:val="0"/>
          <w:color w:val="auto"/>
          <w:spacing w:val="-7"/>
          <w:lang w:eastAsia="zh-CN"/>
        </w:rPr>
        <w:t>1.满足以下规定：</w:t>
      </w:r>
    </w:p>
    <w:p w14:paraId="51F06C35">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（1）具有独立承担民事责任的能力；</w:t>
      </w:r>
    </w:p>
    <w:p w14:paraId="454042C7">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（2）具有良好的商业信誉</w:t>
      </w:r>
      <w:bookmarkStart w:id="20" w:name="_GoBack"/>
      <w:bookmarkEnd w:id="20"/>
      <w:r>
        <w:rPr>
          <w:rFonts w:hint="eastAsia" w:ascii="宋体" w:hAnsi="宋体"/>
          <w:b w:val="0"/>
          <w:bCs w:val="0"/>
          <w:color w:val="auto"/>
          <w:spacing w:val="-7"/>
          <w:lang w:eastAsia="zh-CN"/>
        </w:rPr>
        <w:t>和健全的财务会计制度；</w:t>
      </w:r>
    </w:p>
    <w:p w14:paraId="71E29FB0">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（3）具有履行合同所必需的设备和专业技术能力；</w:t>
      </w:r>
    </w:p>
    <w:p w14:paraId="60250CA1">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（4）有依法缴纳税收和社会保障资金的良好记录；</w:t>
      </w:r>
    </w:p>
    <w:p w14:paraId="3F8D546F">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（5）参加本次采购活动前三年内,在经营活动中没有重大违法记录；</w:t>
      </w:r>
    </w:p>
    <w:p w14:paraId="1CDB372D">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（6）法律、行政法规规定的其他条件。</w:t>
      </w:r>
    </w:p>
    <w:p w14:paraId="621C0FC1">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2.单位负责人为同一人或者存在直接控股、管理关系的不同供应商，不得参加同一合同项下的采购活动。为本项目提供整体设计、规范编制或者项目管理、监理、检测等服务的供应商不得参加本项目的采购活动。</w:t>
      </w:r>
    </w:p>
    <w:p w14:paraId="5F190B82">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val="en-US" w:eastAsia="zh-CN"/>
        </w:rPr>
        <w:t>3</w:t>
      </w:r>
      <w:r>
        <w:rPr>
          <w:rFonts w:hint="eastAsia" w:ascii="宋体" w:hAnsi="宋体"/>
          <w:b w:val="0"/>
          <w:bCs w:val="0"/>
          <w:color w:val="auto"/>
          <w:spacing w:val="-7"/>
          <w:lang w:eastAsia="zh-CN"/>
        </w:rPr>
        <w:t>.供应商被“信用中国”网站列入失信被执行人和重大税收违法案件当事人名单的、被“中国政府采购网”网站列入政府采购严重违法失信行为记录名单（处罚期限尚未届满的），不得参加本项目的采购活动。</w:t>
      </w:r>
    </w:p>
    <w:p w14:paraId="1086A9B3">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val="en-US" w:eastAsia="zh-CN"/>
        </w:rPr>
        <w:t>4</w:t>
      </w:r>
      <w:r>
        <w:rPr>
          <w:rFonts w:hint="eastAsia" w:ascii="宋体" w:hAnsi="宋体"/>
          <w:b w:val="0"/>
          <w:bCs w:val="0"/>
          <w:color w:val="auto"/>
          <w:spacing w:val="-7"/>
          <w:lang w:eastAsia="zh-CN"/>
        </w:rPr>
        <w:t>.本项目的特定资格：无。</w:t>
      </w:r>
    </w:p>
    <w:p w14:paraId="4C64032E">
      <w:pPr>
        <w:pStyle w:val="3"/>
        <w:rPr>
          <w:rFonts w:hint="eastAsia"/>
          <w:b/>
          <w:bCs/>
          <w:lang w:val="en-US" w:eastAsia="zh-CN"/>
        </w:rPr>
      </w:pPr>
      <w:r>
        <w:rPr>
          <w:rFonts w:hint="eastAsia"/>
          <w:b/>
          <w:bCs/>
          <w:lang w:val="en-US" w:eastAsia="zh-CN"/>
        </w:rPr>
        <w:t>三、技术要求</w:t>
      </w:r>
      <w:bookmarkEnd w:id="4"/>
      <w:bookmarkEnd w:id="5"/>
      <w:bookmarkEnd w:id="6"/>
      <w:bookmarkEnd w:id="7"/>
      <w:bookmarkEnd w:id="8"/>
    </w:p>
    <w:p w14:paraId="0C31A505">
      <w:pPr>
        <w:pStyle w:val="3"/>
        <w:rPr>
          <w:rFonts w:hint="eastAsia" w:ascii="宋体" w:hAnsi="宋体" w:eastAsia="宋体" w:cs="宋体"/>
          <w:b/>
          <w:bCs/>
          <w:lang w:val="en-US" w:eastAsia="zh-CN"/>
        </w:rPr>
      </w:pPr>
      <w:bookmarkStart w:id="9" w:name="_Toc6437"/>
      <w:bookmarkStart w:id="10" w:name="_Toc32165"/>
      <w:bookmarkStart w:id="11" w:name="_Toc8467"/>
      <w:bookmarkStart w:id="12" w:name="_Toc1050"/>
      <w:bookmarkStart w:id="13" w:name="_Toc4621"/>
      <w:bookmarkStart w:id="14" w:name="_Toc26511"/>
      <w:bookmarkStart w:id="15" w:name="_Toc3907"/>
      <w:bookmarkStart w:id="16" w:name="_Toc11777"/>
      <w:r>
        <w:rPr>
          <w:rFonts w:hint="eastAsia" w:ascii="宋体" w:hAnsi="宋体" w:eastAsia="宋体" w:cs="宋体"/>
          <w:b/>
          <w:bCs/>
          <w:lang w:val="en-US" w:eastAsia="zh-CN"/>
        </w:rPr>
        <w:t>（一</w:t>
      </w:r>
      <w:bookmarkEnd w:id="9"/>
      <w:r>
        <w:rPr>
          <w:rFonts w:hint="eastAsia" w:ascii="宋体" w:hAnsi="宋体" w:eastAsia="宋体" w:cs="宋体"/>
          <w:b/>
          <w:bCs/>
          <w:lang w:val="en-US" w:eastAsia="zh-CN"/>
        </w:rPr>
        <w:t>）采购清单</w:t>
      </w:r>
      <w:bookmarkEnd w:id="10"/>
      <w:bookmarkEnd w:id="11"/>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789"/>
        <w:gridCol w:w="1028"/>
        <w:gridCol w:w="924"/>
        <w:gridCol w:w="2017"/>
      </w:tblGrid>
      <w:tr w14:paraId="6D56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2" w:type="pct"/>
            <w:noWrap w:val="0"/>
            <w:vAlign w:val="center"/>
          </w:tcPr>
          <w:p w14:paraId="4F746AE4">
            <w:pPr>
              <w:pageBreakBefore w:val="0"/>
              <w:kinsoku/>
              <w:wordWrap/>
              <w:overflowPunct/>
              <w:topLinePunct w:val="0"/>
              <w:bidi w:val="0"/>
              <w:snapToGrid/>
              <w:spacing w:line="4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519" w:type="pct"/>
            <w:noWrap w:val="0"/>
            <w:vAlign w:val="center"/>
          </w:tcPr>
          <w:p w14:paraId="1BA1A9EA">
            <w:pPr>
              <w:pageBreakBefore w:val="0"/>
              <w:kinsoku/>
              <w:wordWrap/>
              <w:overflowPunct/>
              <w:topLinePunct w:val="0"/>
              <w:bidi w:val="0"/>
              <w:snapToGrid/>
              <w:spacing w:line="460" w:lineRule="exact"/>
              <w:jc w:val="center"/>
              <w:rPr>
                <w:rFonts w:hint="default" w:ascii="宋体" w:hAnsi="宋体" w:eastAsia="宋体" w:cs="宋体"/>
                <w:b/>
                <w:kern w:val="0"/>
                <w:sz w:val="24"/>
                <w:szCs w:val="24"/>
                <w:lang w:val="en-US" w:eastAsia="zh-CN"/>
              </w:rPr>
            </w:pPr>
            <w:bookmarkStart w:id="17" w:name="_Toc4137"/>
            <w:r>
              <w:rPr>
                <w:rFonts w:hint="eastAsia" w:ascii="宋体" w:hAnsi="宋体" w:eastAsia="宋体" w:cs="宋体"/>
                <w:b/>
                <w:bCs/>
                <w:i w:val="0"/>
                <w:iCs w:val="0"/>
                <w:color w:val="000000"/>
                <w:kern w:val="0"/>
                <w:sz w:val="24"/>
                <w:szCs w:val="24"/>
                <w:highlight w:val="none"/>
                <w:vertAlign w:val="baseline"/>
                <w:lang w:val="en-US" w:eastAsia="zh-CN" w:bidi="ar-SA"/>
              </w:rPr>
              <w:t>采购标的名称</w:t>
            </w:r>
            <w:bookmarkEnd w:id="17"/>
          </w:p>
        </w:tc>
        <w:tc>
          <w:tcPr>
            <w:tcW w:w="541" w:type="pct"/>
            <w:noWrap w:val="0"/>
            <w:vAlign w:val="center"/>
          </w:tcPr>
          <w:p w14:paraId="6AF6AA96">
            <w:pPr>
              <w:pageBreakBefore w:val="0"/>
              <w:kinsoku/>
              <w:wordWrap/>
              <w:overflowPunct/>
              <w:topLinePunct w:val="0"/>
              <w:bidi w:val="0"/>
              <w:snapToGrid/>
              <w:spacing w:line="4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486" w:type="pct"/>
            <w:noWrap w:val="0"/>
            <w:vAlign w:val="center"/>
          </w:tcPr>
          <w:p w14:paraId="7B3C1FFF">
            <w:pPr>
              <w:pageBreakBefore w:val="0"/>
              <w:kinsoku/>
              <w:wordWrap/>
              <w:overflowPunct/>
              <w:topLinePunct w:val="0"/>
              <w:bidi w:val="0"/>
              <w:snapToGrid/>
              <w:spacing w:line="4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单位</w:t>
            </w:r>
          </w:p>
        </w:tc>
        <w:tc>
          <w:tcPr>
            <w:tcW w:w="1061" w:type="pct"/>
            <w:noWrap w:val="0"/>
            <w:vAlign w:val="center"/>
          </w:tcPr>
          <w:p w14:paraId="68114C6B">
            <w:pPr>
              <w:pageBreakBefore w:val="0"/>
              <w:kinsoku/>
              <w:wordWrap/>
              <w:overflowPunct/>
              <w:topLinePunct w:val="0"/>
              <w:bidi w:val="0"/>
              <w:snapToGrid/>
              <w:spacing w:line="4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8D5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noWrap w:val="0"/>
            <w:vAlign w:val="center"/>
          </w:tcPr>
          <w:p w14:paraId="753659CA">
            <w:pPr>
              <w:pageBreakBefore w:val="0"/>
              <w:kinsoku/>
              <w:wordWrap/>
              <w:overflowPunct/>
              <w:topLinePunct w:val="0"/>
              <w:bidi w:val="0"/>
              <w:snapToGrid/>
              <w:spacing w:line="4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519" w:type="pct"/>
            <w:noWrap w:val="0"/>
            <w:vAlign w:val="center"/>
          </w:tcPr>
          <w:p w14:paraId="08F5D4C2">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snapToGrid w:val="0"/>
                <w:color w:val="auto"/>
                <w:spacing w:val="0"/>
                <w:kern w:val="0"/>
                <w:position w:val="0"/>
                <w:sz w:val="24"/>
                <w:szCs w:val="24"/>
                <w:highlight w:val="none"/>
                <w:u w:val="none"/>
                <w:lang w:val="en-US" w:eastAsia="zh-CN"/>
              </w:rPr>
              <w:t>医学类题库系统</w:t>
            </w:r>
          </w:p>
        </w:tc>
        <w:tc>
          <w:tcPr>
            <w:tcW w:w="541" w:type="pct"/>
            <w:noWrap w:val="0"/>
            <w:vAlign w:val="center"/>
          </w:tcPr>
          <w:p w14:paraId="6A3BB528">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486" w:type="pct"/>
            <w:noWrap w:val="0"/>
            <w:vAlign w:val="center"/>
          </w:tcPr>
          <w:p w14:paraId="52D32647">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Style w:val="52"/>
                <w:rFonts w:hint="eastAsia" w:ascii="仿宋" w:hAnsi="仿宋" w:eastAsia="仿宋" w:cs="仿宋"/>
                <w:color w:val="000000"/>
                <w:sz w:val="24"/>
                <w:szCs w:val="24"/>
                <w:lang w:eastAsia="zh-CN"/>
              </w:rPr>
              <w:t>套</w:t>
            </w:r>
          </w:p>
        </w:tc>
        <w:tc>
          <w:tcPr>
            <w:tcW w:w="1061" w:type="pct"/>
            <w:noWrap w:val="0"/>
            <w:vAlign w:val="center"/>
          </w:tcPr>
          <w:p w14:paraId="4BFCE769">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kern w:val="2"/>
                <w:sz w:val="24"/>
                <w:szCs w:val="24"/>
                <w:highlight w:val="none"/>
                <w:lang w:val="en-US" w:eastAsia="zh-CN" w:bidi="ar-SA"/>
              </w:rPr>
            </w:pPr>
          </w:p>
        </w:tc>
      </w:tr>
    </w:tbl>
    <w:p w14:paraId="1363F0E2">
      <w:pPr>
        <w:bidi w:val="0"/>
        <w:rPr>
          <w:rFonts w:hint="eastAsia"/>
          <w:lang w:val="en-US" w:eastAsia="zh-CN"/>
        </w:rPr>
      </w:pPr>
    </w:p>
    <w:p w14:paraId="419FECC2">
      <w:pPr>
        <w:pStyle w:val="3"/>
        <w:rPr>
          <w:rFonts w:hint="eastAsia" w:ascii="宋体" w:hAnsi="宋体"/>
          <w:color w:val="000000"/>
          <w:sz w:val="28"/>
          <w:szCs w:val="28"/>
          <w:highlight w:val="none"/>
        </w:rPr>
      </w:pPr>
      <w:bookmarkStart w:id="18" w:name="_Toc2378"/>
      <w:r>
        <w:rPr>
          <w:rFonts w:hint="eastAsia" w:ascii="宋体" w:hAnsi="宋体"/>
          <w:color w:val="000000"/>
          <w:sz w:val="28"/>
          <w:szCs w:val="28"/>
          <w:highlight w:val="none"/>
          <w:lang w:val="en-US" w:eastAsia="zh-CN"/>
        </w:rPr>
        <w:br w:type="page"/>
      </w:r>
      <w:r>
        <w:rPr>
          <w:rFonts w:hint="eastAsia" w:ascii="宋体" w:hAnsi="宋体" w:eastAsia="宋体" w:cs="宋体"/>
          <w:b/>
          <w:bCs/>
          <w:lang w:val="en-US" w:eastAsia="zh-CN"/>
        </w:rPr>
        <w:t>（二）技术要求</w:t>
      </w:r>
      <w:bookmarkEnd w:id="1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14:paraId="2BA7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noWrap/>
            <w:vAlign w:val="top"/>
          </w:tcPr>
          <w:p w14:paraId="0EB24F85">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val="0"/>
                <w:color w:val="000000"/>
                <w:kern w:val="0"/>
                <w:sz w:val="24"/>
                <w:szCs w:val="24"/>
                <w:lang w:val="en-US" w:eastAsia="zh-CN"/>
              </w:rPr>
            </w:pP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题库编写与测评</w:t>
            </w:r>
          </w:p>
          <w:p w14:paraId="417B6DA2">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1、临床医学</w:t>
            </w:r>
          </w:p>
          <w:p w14:paraId="0A1BE485">
            <w:pPr>
              <w:pStyle w:val="44"/>
              <w:keepNext w:val="0"/>
              <w:keepLines w:val="0"/>
              <w:pageBreakBefore w:val="0"/>
              <w:widowControl/>
              <w:numPr>
                <w:ilvl w:val="0"/>
                <w:numId w:val="1"/>
              </w:numPr>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产品涵盖临床医学不低于4</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个学科</w:t>
            </w:r>
            <w:r>
              <w:rPr>
                <w:rFonts w:hint="eastAsia" w:ascii="宋体" w:hAnsi="宋体" w:eastAsia="宋体" w:cs="宋体"/>
                <w:bCs/>
                <w:color w:val="000000"/>
                <w:sz w:val="24"/>
                <w:szCs w:val="24"/>
                <w:lang w:eastAsia="zh-CN"/>
              </w:rPr>
              <w:t>。</w:t>
            </w:r>
          </w:p>
          <w:p w14:paraId="6B9EA79E">
            <w:pPr>
              <w:pStyle w:val="44"/>
              <w:keepNext w:val="0"/>
              <w:keepLines w:val="0"/>
              <w:pageBreakBefore w:val="0"/>
              <w:widowControl/>
              <w:numPr>
                <w:ilvl w:val="0"/>
                <w:numId w:val="1"/>
              </w:numPr>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sz w:val="24"/>
                <w:szCs w:val="24"/>
              </w:rPr>
              <w:t>产品涵盖学科必须包含</w:t>
            </w:r>
            <w:r>
              <w:rPr>
                <w:rFonts w:hint="eastAsia" w:ascii="宋体" w:hAnsi="宋体" w:eastAsia="宋体" w:cs="宋体"/>
                <w:bCs/>
                <w:color w:val="000000"/>
                <w:sz w:val="24"/>
                <w:szCs w:val="24"/>
                <w:lang w:eastAsia="zh-CN"/>
              </w:rPr>
              <w:t>但不限于</w:t>
            </w:r>
            <w:r>
              <w:rPr>
                <w:rFonts w:hint="eastAsia" w:ascii="宋体" w:hAnsi="宋体" w:eastAsia="宋体" w:cs="宋体"/>
                <w:bCs/>
                <w:color w:val="000000"/>
                <w:sz w:val="24"/>
                <w:szCs w:val="24"/>
              </w:rPr>
              <w:t>以下学科：</w:t>
            </w:r>
            <w:r>
              <w:rPr>
                <w:rFonts w:hint="eastAsia" w:ascii="宋体" w:hAnsi="宋体" w:eastAsia="宋体" w:cs="宋体"/>
                <w:color w:val="000000"/>
                <w:kern w:val="0"/>
                <w:sz w:val="24"/>
                <w:szCs w:val="24"/>
              </w:rPr>
              <w:t>系统解剖学、内科学、医学细胞生物学、局部解剖学、外科学、医学遗传学、组织学与胚胎学、妇产科学、临床药理学、生物化学与分子生物学、儿科学、医学统计学、生理学、神经病学、医学伦理学、医学微生物学、精神病学、临床流行病学与循证医学、人体寄生虫学、传染病学、康复医学、医学免疫学、眼科学、医学文献检索与论文写作、病理学、耳鼻咽喉-头颈外科学、卫生法、病理生理学、口腔科学、药理学、皮肤性病学、全科医学概论、医学心理学、核医</w:t>
            </w:r>
            <w:r>
              <w:rPr>
                <w:rFonts w:hint="eastAsia" w:ascii="宋体" w:hAnsi="宋体" w:eastAsia="宋体" w:cs="宋体"/>
                <w:color w:val="000000"/>
                <w:kern w:val="0"/>
                <w:sz w:val="24"/>
                <w:szCs w:val="24"/>
                <w:highlight w:val="none"/>
              </w:rPr>
              <w:t>学、麻醉学、法医学、流行病学、急诊与灾难医学、诊断学</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医学影像学</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中医学</w:t>
            </w:r>
            <w:r>
              <w:rPr>
                <w:rFonts w:hint="eastAsia" w:ascii="宋体" w:hAnsi="宋体" w:eastAsia="宋体" w:cs="宋体"/>
                <w:color w:val="000000"/>
                <w:kern w:val="0"/>
                <w:sz w:val="24"/>
                <w:szCs w:val="24"/>
                <w:highlight w:val="none"/>
                <w:lang w:eastAsia="zh-CN"/>
              </w:rPr>
              <w:t>。</w:t>
            </w:r>
          </w:p>
          <w:p w14:paraId="1BACA5A5">
            <w:pPr>
              <w:pStyle w:val="44"/>
              <w:keepNext w:val="0"/>
              <w:keepLines w:val="0"/>
              <w:pageBreakBefore w:val="0"/>
              <w:widowControl/>
              <w:numPr>
                <w:ilvl w:val="0"/>
                <w:numId w:val="1"/>
              </w:numPr>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rPr>
              <w:t>临床医学题库试题总量大于18.8万道题。支持提供不少于30家医学院校参与评估和测试，为院校提供使用测评报告。</w:t>
            </w:r>
          </w:p>
          <w:p w14:paraId="5E7F637E">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2、护理学</w:t>
            </w:r>
          </w:p>
          <w:p w14:paraId="3378A4AB">
            <w:pPr>
              <w:pStyle w:val="44"/>
              <w:keepNext w:val="0"/>
              <w:keepLines w:val="0"/>
              <w:pageBreakBefore w:val="0"/>
              <w:widowControl/>
              <w:numPr>
                <w:ilvl w:val="0"/>
                <w:numId w:val="2"/>
              </w:numPr>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产品涵盖护理学（本科）不低于1</w:t>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个学科</w:t>
            </w:r>
            <w:r>
              <w:rPr>
                <w:rFonts w:hint="eastAsia" w:ascii="宋体" w:hAnsi="宋体" w:eastAsia="宋体" w:cs="宋体"/>
                <w:bCs/>
                <w:color w:val="000000"/>
                <w:sz w:val="24"/>
                <w:szCs w:val="24"/>
                <w:lang w:eastAsia="zh-CN"/>
              </w:rPr>
              <w:t>。</w:t>
            </w:r>
          </w:p>
          <w:p w14:paraId="26DED2CA">
            <w:pPr>
              <w:pStyle w:val="44"/>
              <w:keepNext w:val="0"/>
              <w:keepLines w:val="0"/>
              <w:pageBreakBefore w:val="0"/>
              <w:widowControl/>
              <w:numPr>
                <w:ilvl w:val="0"/>
                <w:numId w:val="2"/>
              </w:numPr>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产品涵盖学科必须包含</w:t>
            </w:r>
            <w:r>
              <w:rPr>
                <w:rFonts w:hint="eastAsia" w:ascii="宋体" w:hAnsi="宋体" w:eastAsia="宋体" w:cs="宋体"/>
                <w:bCs/>
                <w:color w:val="000000"/>
                <w:sz w:val="24"/>
                <w:szCs w:val="24"/>
                <w:lang w:eastAsia="zh-CN"/>
              </w:rPr>
              <w:t>但不限于</w:t>
            </w:r>
            <w:r>
              <w:rPr>
                <w:rFonts w:hint="eastAsia" w:ascii="宋体" w:hAnsi="宋体" w:eastAsia="宋体" w:cs="宋体"/>
                <w:bCs/>
                <w:color w:val="000000"/>
                <w:sz w:val="24"/>
                <w:szCs w:val="24"/>
              </w:rPr>
              <w:t>以下学科：</w:t>
            </w:r>
            <w:r>
              <w:rPr>
                <w:rFonts w:hint="eastAsia" w:ascii="宋体" w:hAnsi="宋体" w:eastAsia="宋体" w:cs="宋体"/>
                <w:color w:val="000000"/>
                <w:kern w:val="0"/>
                <w:sz w:val="24"/>
                <w:szCs w:val="24"/>
              </w:rPr>
              <w:t>健康评估、护理学导论、基础护理学、内科护理学、外科护理学、妇产科护理学、儿科护理学、中医护理学、眼耳鼻咽喉口腔科护理学、精神科护理学、康复护理学、急危重症护理学、社区护理学、老年护理学、临床营养学、护理管理学、护理心理学、护理伦理学。</w:t>
            </w:r>
          </w:p>
          <w:p w14:paraId="7AC6AD63">
            <w:pPr>
              <w:pStyle w:val="44"/>
              <w:keepNext w:val="0"/>
              <w:keepLines w:val="0"/>
              <w:pageBreakBefore w:val="0"/>
              <w:widowControl/>
              <w:numPr>
                <w:ilvl w:val="0"/>
                <w:numId w:val="2"/>
              </w:numPr>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题库试题总量大于9.5万道题。</w:t>
            </w:r>
          </w:p>
          <w:p w14:paraId="7B7C8AEF">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 xml:space="preserve">3.中医学 </w:t>
            </w:r>
          </w:p>
          <w:p w14:paraId="1B71F071">
            <w:pPr>
              <w:keepNext w:val="0"/>
              <w:keepLines w:val="0"/>
              <w:pageBreakBefore w:val="0"/>
              <w:widowControl/>
              <w:numPr>
                <w:ilvl w:val="0"/>
                <w:numId w:val="3"/>
              </w:numPr>
              <w:suppressLineNumbers w:val="0"/>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产品涵盖中医学不低于 23 个学科 。</w:t>
            </w:r>
          </w:p>
          <w:p w14:paraId="6B2DB7BC">
            <w:pPr>
              <w:keepNext w:val="0"/>
              <w:keepLines w:val="0"/>
              <w:pageBreakBefore w:val="0"/>
              <w:widowControl/>
              <w:numPr>
                <w:ilvl w:val="0"/>
                <w:numId w:val="3"/>
              </w:numPr>
              <w:suppressLineNumbers w:val="0"/>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产品涵盖学科必须包含</w:t>
            </w:r>
            <w:r>
              <w:rPr>
                <w:rFonts w:hint="eastAsia" w:ascii="宋体" w:hAnsi="宋体" w:eastAsia="宋体" w:cs="宋体"/>
                <w:bCs/>
                <w:color w:val="000000"/>
                <w:sz w:val="24"/>
                <w:szCs w:val="24"/>
                <w:lang w:eastAsia="zh-CN"/>
              </w:rPr>
              <w:t>但不限于</w:t>
            </w:r>
            <w:r>
              <w:rPr>
                <w:rFonts w:hint="eastAsia" w:ascii="宋体" w:hAnsi="宋体" w:eastAsia="宋体" w:cs="宋体"/>
                <w:color w:val="000000"/>
                <w:kern w:val="0"/>
                <w:sz w:val="24"/>
                <w:szCs w:val="24"/>
                <w:lang w:val="en-US" w:eastAsia="zh-CN" w:bidi="ar"/>
              </w:rPr>
              <w:t>以下学科：中医基础理论、中药学、方剂学、中医诊断学、伤寒论讲义、温病学、金匮要略讲义、内经讲义、中医内科学、中医外科学、 中医妇科学、中医儿科学、中医骨伤科学、针灸学、推拿学、正常人体解剖学、生理学、病理学、药理学、诊断学基础</w:t>
            </w:r>
            <w:r>
              <w:rPr>
                <w:rFonts w:hint="eastAsia" w:ascii="宋体" w:hAnsi="宋体" w:eastAsia="宋体" w:cs="宋体"/>
                <w:color w:val="000000"/>
                <w:kern w:val="0"/>
                <w:sz w:val="24"/>
                <w:szCs w:val="24"/>
                <w:highlight w:val="none"/>
                <w:lang w:val="en-US" w:eastAsia="zh-CN" w:bidi="ar"/>
              </w:rPr>
              <w:t>、医学伦理学、西医</w:t>
            </w:r>
            <w:r>
              <w:rPr>
                <w:rFonts w:hint="eastAsia" w:ascii="宋体" w:hAnsi="宋体" w:eastAsia="宋体" w:cs="宋体"/>
                <w:color w:val="000000"/>
                <w:kern w:val="0"/>
                <w:sz w:val="24"/>
                <w:szCs w:val="24"/>
                <w:lang w:val="en-US" w:eastAsia="zh-CN" w:bidi="ar"/>
              </w:rPr>
              <w:t xml:space="preserve">内科学、医患沟通技巧。 </w:t>
            </w:r>
          </w:p>
          <w:p w14:paraId="2050994A">
            <w:pPr>
              <w:keepNext w:val="0"/>
              <w:keepLines w:val="0"/>
              <w:pageBreakBefore w:val="0"/>
              <w:widowControl/>
              <w:numPr>
                <w:ilvl w:val="0"/>
                <w:numId w:val="3"/>
              </w:numPr>
              <w:suppressLineNumbers w:val="0"/>
              <w:kinsoku/>
              <w:wordWrap/>
              <w:overflowPunct/>
              <w:topLinePunct w:val="0"/>
              <w:autoSpaceDE/>
              <w:autoSpaceDN/>
              <w:bidi w:val="0"/>
              <w:adjustRightInd/>
              <w:snapToGrid/>
              <w:spacing w:line="460" w:lineRule="exact"/>
              <w:ind w:left="425" w:leftChars="0" w:hanging="425"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题库试题总量大于 14 万道题。 </w:t>
            </w:r>
          </w:p>
          <w:p w14:paraId="0FF53831">
            <w:pPr>
              <w:keepNext w:val="0"/>
              <w:keepLines w:val="0"/>
              <w:pageBreakBefore w:val="0"/>
              <w:widowControl/>
              <w:suppressLineNumbers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 xml:space="preserve">4.中药学 </w:t>
            </w:r>
          </w:p>
          <w:p w14:paraId="7FD8292B">
            <w:pPr>
              <w:keepNext w:val="0"/>
              <w:keepLines w:val="0"/>
              <w:pageBreakBefore w:val="0"/>
              <w:widowControl/>
              <w:suppressLineNumbers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1）产品涵盖中药学不低于12个学科。</w:t>
            </w:r>
          </w:p>
          <w:p w14:paraId="30A05DD6">
            <w:pPr>
              <w:keepNext w:val="0"/>
              <w:keepLines w:val="0"/>
              <w:pageBreakBefore w:val="0"/>
              <w:widowControl/>
              <w:suppressLineNumbers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2）产品涵盖学科必须包含</w:t>
            </w:r>
            <w:r>
              <w:rPr>
                <w:rFonts w:hint="eastAsia" w:ascii="宋体" w:hAnsi="宋体" w:eastAsia="宋体" w:cs="宋体"/>
                <w:bCs/>
                <w:color w:val="000000"/>
                <w:sz w:val="24"/>
                <w:szCs w:val="24"/>
                <w:lang w:eastAsia="zh-CN"/>
              </w:rPr>
              <w:t>但不限于</w:t>
            </w:r>
            <w:r>
              <w:rPr>
                <w:rFonts w:hint="eastAsia" w:ascii="宋体" w:hAnsi="宋体" w:eastAsia="宋体" w:cs="宋体"/>
                <w:color w:val="000000"/>
                <w:kern w:val="0"/>
                <w:sz w:val="24"/>
                <w:szCs w:val="24"/>
                <w:lang w:val="en-US" w:eastAsia="zh-CN" w:bidi="ar"/>
              </w:rPr>
              <w:t xml:space="preserve">以下学科：中医学基础、中药化学、药用植物学、中药鉴定学、中药药剂学、中药炮制学、中药药理学、中药资源学、临床中药学、药事管理与法规、中成药学、中西药配伍与合理应用。 </w:t>
            </w:r>
          </w:p>
          <w:p w14:paraId="53F6BD0A">
            <w:pPr>
              <w:keepNext w:val="0"/>
              <w:keepLines w:val="0"/>
              <w:pageBreakBefore w:val="0"/>
              <w:widowControl/>
              <w:suppressLineNumbers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3）题库试题总量大于6万道题。 </w:t>
            </w:r>
          </w:p>
          <w:p w14:paraId="73FEB3A5">
            <w:pPr>
              <w:keepNext w:val="0"/>
              <w:keepLines w:val="0"/>
              <w:pageBreakBefore w:val="0"/>
              <w:widowControl/>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lang w:val="en-US" w:eastAsia="zh-CN"/>
              </w:rPr>
              <w:t>★</w:t>
            </w:r>
            <w:r>
              <w:rPr>
                <w:rFonts w:hint="eastAsia" w:ascii="宋体" w:hAnsi="宋体" w:eastAsia="宋体" w:cs="宋体"/>
                <w:b/>
                <w:bCs/>
                <w:color w:val="000000"/>
                <w:sz w:val="24"/>
                <w:szCs w:val="24"/>
              </w:rPr>
              <w:t>二、题库分类</w:t>
            </w:r>
          </w:p>
          <w:p w14:paraId="36B569BF">
            <w:pPr>
              <w:pStyle w:val="44"/>
              <w:keepNext w:val="0"/>
              <w:keepLines w:val="0"/>
              <w:pageBreakBefore w:val="0"/>
              <w:widowControl/>
              <w:numPr>
                <w:ilvl w:val="0"/>
                <w:numId w:val="4"/>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bCs/>
                <w:color w:val="000000"/>
                <w:sz w:val="24"/>
                <w:szCs w:val="24"/>
              </w:rPr>
              <w:t>一类题库</w:t>
            </w:r>
          </w:p>
          <w:p w14:paraId="7199D7BF">
            <w:pPr>
              <w:pStyle w:val="44"/>
              <w:keepNext w:val="0"/>
              <w:keepLines w:val="0"/>
              <w:pageBreakBefore w:val="0"/>
              <w:numPr>
                <w:ilvl w:val="2"/>
                <w:numId w:val="5"/>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为教务管理部门提供终结性教学评价服务</w:t>
            </w:r>
            <w:r>
              <w:rPr>
                <w:rFonts w:hint="eastAsia" w:ascii="宋体" w:hAnsi="宋体" w:eastAsia="宋体" w:cs="宋体"/>
                <w:color w:val="000000"/>
                <w:sz w:val="24"/>
                <w:szCs w:val="24"/>
                <w:shd w:val="clear" w:color="auto" w:fill="FFFFFF"/>
                <w:lang w:eastAsia="zh-CN"/>
              </w:rPr>
              <w:t>；</w:t>
            </w:r>
          </w:p>
          <w:p w14:paraId="31CD1CE2">
            <w:pPr>
              <w:pStyle w:val="44"/>
              <w:keepNext w:val="0"/>
              <w:keepLines w:val="0"/>
              <w:pageBreakBefore w:val="0"/>
              <w:numPr>
                <w:ilvl w:val="2"/>
                <w:numId w:val="5"/>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组织期末考试、护理学理论综合、毕业综合考试</w:t>
            </w:r>
            <w:r>
              <w:rPr>
                <w:rFonts w:hint="eastAsia" w:ascii="宋体" w:hAnsi="宋体" w:eastAsia="宋体" w:cs="宋体"/>
                <w:color w:val="000000"/>
                <w:sz w:val="24"/>
                <w:szCs w:val="24"/>
                <w:shd w:val="clear" w:color="auto" w:fill="FFFFFF"/>
                <w:lang w:eastAsia="zh-CN"/>
              </w:rPr>
              <w:t>；</w:t>
            </w:r>
          </w:p>
          <w:p w14:paraId="6DF1B53C">
            <w:pPr>
              <w:pStyle w:val="44"/>
              <w:keepNext w:val="0"/>
              <w:keepLines w:val="0"/>
              <w:pageBreakBefore w:val="0"/>
              <w:numPr>
                <w:ilvl w:val="2"/>
                <w:numId w:val="5"/>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开展</w:t>
            </w:r>
            <w:r>
              <w:rPr>
                <w:rFonts w:hint="eastAsia" w:ascii="宋体" w:hAnsi="宋体" w:eastAsia="宋体" w:cs="宋体"/>
                <w:color w:val="000000"/>
                <w:sz w:val="24"/>
                <w:szCs w:val="24"/>
                <w:shd w:val="clear" w:color="auto" w:fill="FFFFFF"/>
                <w:lang w:val="en-US" w:eastAsia="zh-CN"/>
              </w:rPr>
              <w:t>各专业</w:t>
            </w:r>
            <w:r>
              <w:rPr>
                <w:rFonts w:hint="eastAsia" w:ascii="宋体" w:hAnsi="宋体" w:eastAsia="宋体" w:cs="宋体"/>
                <w:color w:val="000000"/>
                <w:sz w:val="24"/>
                <w:szCs w:val="24"/>
                <w:shd w:val="clear" w:color="auto" w:fill="FFFFFF"/>
              </w:rPr>
              <w:t>执业资格模拟考试</w:t>
            </w:r>
            <w:r>
              <w:rPr>
                <w:rFonts w:hint="eastAsia" w:ascii="宋体" w:hAnsi="宋体" w:eastAsia="宋体" w:cs="宋体"/>
                <w:color w:val="000000"/>
                <w:sz w:val="24"/>
                <w:szCs w:val="24"/>
                <w:shd w:val="clear" w:color="auto" w:fill="FFFFFF"/>
                <w:lang w:eastAsia="zh-CN"/>
              </w:rPr>
              <w:t>；</w:t>
            </w:r>
          </w:p>
          <w:p w14:paraId="0B5C947B">
            <w:pPr>
              <w:pStyle w:val="44"/>
              <w:keepNext w:val="0"/>
              <w:keepLines w:val="0"/>
              <w:pageBreakBefore w:val="0"/>
              <w:widowControl/>
              <w:numPr>
                <w:ilvl w:val="0"/>
                <w:numId w:val="4"/>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二类题库</w:t>
            </w:r>
          </w:p>
          <w:p w14:paraId="73D340B3">
            <w:pPr>
              <w:pStyle w:val="44"/>
              <w:keepNext w:val="0"/>
              <w:keepLines w:val="0"/>
              <w:pageBreakBefore w:val="0"/>
              <w:numPr>
                <w:ilvl w:val="2"/>
                <w:numId w:val="6"/>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为教师提供日常教学中的形成性评价服务</w:t>
            </w:r>
            <w:r>
              <w:rPr>
                <w:rFonts w:hint="eastAsia" w:ascii="宋体" w:hAnsi="宋体" w:eastAsia="宋体" w:cs="宋体"/>
                <w:color w:val="000000"/>
                <w:sz w:val="24"/>
                <w:szCs w:val="24"/>
                <w:shd w:val="clear" w:color="auto" w:fill="FFFFFF"/>
                <w:lang w:eastAsia="zh-CN"/>
              </w:rPr>
              <w:t>；</w:t>
            </w:r>
          </w:p>
          <w:p w14:paraId="2E142458">
            <w:pPr>
              <w:pStyle w:val="44"/>
              <w:keepNext w:val="0"/>
              <w:keepLines w:val="0"/>
              <w:pageBreakBefore w:val="0"/>
              <w:numPr>
                <w:ilvl w:val="2"/>
                <w:numId w:val="6"/>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教师用于布置课前预习作业、开展课堂随堂测试、布置课后复习作业</w:t>
            </w:r>
            <w:r>
              <w:rPr>
                <w:rFonts w:hint="eastAsia" w:ascii="宋体" w:hAnsi="宋体" w:eastAsia="宋体" w:cs="宋体"/>
                <w:color w:val="000000"/>
                <w:sz w:val="24"/>
                <w:szCs w:val="24"/>
                <w:shd w:val="clear" w:color="auto" w:fill="FFFFFF"/>
                <w:lang w:eastAsia="zh-CN"/>
              </w:rPr>
              <w:t>；</w:t>
            </w:r>
          </w:p>
          <w:p w14:paraId="6D5028E4">
            <w:pPr>
              <w:pStyle w:val="44"/>
              <w:keepNext w:val="0"/>
              <w:keepLines w:val="0"/>
              <w:pageBreakBefore w:val="0"/>
              <w:numPr>
                <w:ilvl w:val="2"/>
                <w:numId w:val="6"/>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针对</w:t>
            </w:r>
            <w:r>
              <w:rPr>
                <w:rFonts w:hint="eastAsia" w:ascii="宋体" w:hAnsi="宋体" w:eastAsia="宋体" w:cs="宋体"/>
                <w:color w:val="000000"/>
                <w:sz w:val="24"/>
                <w:szCs w:val="24"/>
                <w:shd w:val="clear" w:color="auto" w:fill="FFFFFF"/>
                <w:lang w:val="en-US" w:eastAsia="zh-CN"/>
              </w:rPr>
              <w:t>各专业</w:t>
            </w:r>
            <w:r>
              <w:rPr>
                <w:rFonts w:hint="eastAsia" w:ascii="宋体" w:hAnsi="宋体" w:eastAsia="宋体" w:cs="宋体"/>
                <w:color w:val="000000"/>
                <w:sz w:val="24"/>
                <w:szCs w:val="24"/>
                <w:shd w:val="clear" w:color="auto" w:fill="FFFFFF"/>
              </w:rPr>
              <w:t>执业资格考试知识薄弱环节，进行强化训练</w:t>
            </w:r>
            <w:r>
              <w:rPr>
                <w:rFonts w:hint="eastAsia" w:ascii="宋体" w:hAnsi="宋体" w:eastAsia="宋体" w:cs="宋体"/>
                <w:color w:val="000000"/>
                <w:sz w:val="24"/>
                <w:szCs w:val="24"/>
                <w:shd w:val="clear" w:color="auto" w:fill="FFFFFF"/>
                <w:lang w:eastAsia="zh-CN"/>
              </w:rPr>
              <w:t>；</w:t>
            </w:r>
          </w:p>
          <w:p w14:paraId="2DE5AB17">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lang w:val="en-US" w:eastAsia="zh-CN"/>
              </w:rPr>
              <w:t>★</w:t>
            </w: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试题命题计划</w:t>
            </w:r>
          </w:p>
          <w:p w14:paraId="0B4A9EF8">
            <w:pPr>
              <w:pStyle w:val="44"/>
              <w:keepNext w:val="0"/>
              <w:keepLines w:val="0"/>
              <w:pageBreakBefore w:val="0"/>
              <w:widowControl/>
              <w:numPr>
                <w:ilvl w:val="0"/>
                <w:numId w:val="7"/>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知识点分类：教材、执业资格考试大纲</w:t>
            </w:r>
            <w:r>
              <w:rPr>
                <w:rFonts w:hint="eastAsia" w:ascii="宋体" w:hAnsi="宋体" w:eastAsia="宋体" w:cs="宋体"/>
                <w:bCs/>
                <w:color w:val="000000"/>
                <w:sz w:val="24"/>
                <w:szCs w:val="24"/>
                <w:lang w:eastAsia="zh-CN"/>
              </w:rPr>
              <w:t>；</w:t>
            </w:r>
          </w:p>
          <w:p w14:paraId="49DCF581">
            <w:pPr>
              <w:pStyle w:val="44"/>
              <w:keepNext w:val="0"/>
              <w:keepLines w:val="0"/>
              <w:pageBreakBefore w:val="0"/>
              <w:widowControl/>
              <w:numPr>
                <w:ilvl w:val="0"/>
                <w:numId w:val="7"/>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知识分级：回忆、解释、问题解决</w:t>
            </w:r>
            <w:r>
              <w:rPr>
                <w:rFonts w:hint="eastAsia" w:ascii="宋体" w:hAnsi="宋体" w:eastAsia="宋体" w:cs="宋体"/>
                <w:bCs/>
                <w:color w:val="000000"/>
                <w:sz w:val="24"/>
                <w:szCs w:val="24"/>
                <w:lang w:eastAsia="zh-CN"/>
              </w:rPr>
              <w:t>；</w:t>
            </w:r>
          </w:p>
          <w:p w14:paraId="35664DF2">
            <w:pPr>
              <w:pStyle w:val="44"/>
              <w:keepNext w:val="0"/>
              <w:keepLines w:val="0"/>
              <w:pageBreakBefore w:val="0"/>
              <w:widowControl/>
              <w:numPr>
                <w:ilvl w:val="0"/>
                <w:numId w:val="7"/>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难度分布：易、较易、中、较难、难</w:t>
            </w:r>
            <w:r>
              <w:rPr>
                <w:rFonts w:hint="eastAsia" w:ascii="宋体" w:hAnsi="宋体" w:eastAsia="宋体" w:cs="宋体"/>
                <w:bCs/>
                <w:color w:val="000000"/>
                <w:sz w:val="24"/>
                <w:szCs w:val="24"/>
                <w:lang w:eastAsia="zh-CN"/>
              </w:rPr>
              <w:t>；</w:t>
            </w:r>
          </w:p>
          <w:p w14:paraId="2DB776E2">
            <w:pPr>
              <w:pStyle w:val="44"/>
              <w:keepNext w:val="0"/>
              <w:keepLines w:val="0"/>
              <w:pageBreakBefore w:val="0"/>
              <w:widowControl/>
              <w:numPr>
                <w:ilvl w:val="0"/>
                <w:numId w:val="7"/>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题型分布：A1、A2、A3、A4、B、名词解释、填空、简答、案例分析题</w:t>
            </w:r>
            <w:r>
              <w:rPr>
                <w:rFonts w:hint="eastAsia" w:ascii="宋体" w:hAnsi="宋体" w:eastAsia="宋体" w:cs="宋体"/>
                <w:bCs/>
                <w:color w:val="000000"/>
                <w:sz w:val="24"/>
                <w:szCs w:val="24"/>
                <w:lang w:eastAsia="zh-CN"/>
              </w:rPr>
              <w:t>；</w:t>
            </w:r>
          </w:p>
          <w:p w14:paraId="45304849">
            <w:pPr>
              <w:pStyle w:val="44"/>
              <w:keepNext w:val="0"/>
              <w:keepLines w:val="0"/>
              <w:pageBreakBefore w:val="0"/>
              <w:widowControl/>
              <w:numPr>
                <w:ilvl w:val="0"/>
                <w:numId w:val="7"/>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大纲要求：掌握、熟悉、了解、超纲</w:t>
            </w:r>
            <w:r>
              <w:rPr>
                <w:rFonts w:hint="eastAsia" w:ascii="宋体" w:hAnsi="宋体" w:eastAsia="宋体" w:cs="宋体"/>
                <w:bCs/>
                <w:color w:val="000000"/>
                <w:sz w:val="24"/>
                <w:szCs w:val="24"/>
                <w:lang w:eastAsia="zh-CN"/>
              </w:rPr>
              <w:t>；</w:t>
            </w:r>
          </w:p>
          <w:p w14:paraId="64FE7BB1">
            <w:pPr>
              <w:pStyle w:val="44"/>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四、更新</w:t>
            </w:r>
          </w:p>
          <w:p w14:paraId="42C94577">
            <w:pPr>
              <w:pStyle w:val="44"/>
              <w:keepNext w:val="0"/>
              <w:keepLines w:val="0"/>
              <w:pageBreakBefore w:val="0"/>
              <w:widowControl/>
              <w:numPr>
                <w:ilvl w:val="0"/>
                <w:numId w:val="8"/>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题库应基于规划教材知识内容变化进行试题增删。</w:t>
            </w:r>
          </w:p>
          <w:p w14:paraId="6F80A507">
            <w:pPr>
              <w:pStyle w:val="44"/>
              <w:keepNext w:val="0"/>
              <w:keepLines w:val="0"/>
              <w:pageBreakBefore w:val="0"/>
              <w:widowControl/>
              <w:numPr>
                <w:ilvl w:val="0"/>
                <w:numId w:val="8"/>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题库应基于试题使用数据统计分析进行试题修订。</w:t>
            </w:r>
          </w:p>
          <w:p w14:paraId="77FD08F6">
            <w:pPr>
              <w:pStyle w:val="44"/>
              <w:keepNext w:val="0"/>
              <w:keepLines w:val="0"/>
              <w:pageBreakBefore w:val="0"/>
              <w:widowControl/>
              <w:numPr>
                <w:ilvl w:val="0"/>
                <w:numId w:val="8"/>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题库应</w:t>
            </w:r>
            <w:r>
              <w:rPr>
                <w:rFonts w:hint="eastAsia" w:ascii="宋体" w:hAnsi="宋体" w:eastAsia="宋体" w:cs="宋体"/>
                <w:color w:val="000000"/>
                <w:sz w:val="24"/>
                <w:szCs w:val="24"/>
                <w:shd w:val="clear" w:color="auto" w:fill="FFFFFF"/>
              </w:rPr>
              <w:t>基于执业资格考试大纲进行调整</w:t>
            </w:r>
            <w:r>
              <w:rPr>
                <w:rFonts w:hint="eastAsia" w:ascii="宋体" w:hAnsi="宋体" w:eastAsia="宋体" w:cs="宋体"/>
                <w:color w:val="000000"/>
                <w:kern w:val="0"/>
                <w:sz w:val="24"/>
                <w:szCs w:val="24"/>
              </w:rPr>
              <w:t>。</w:t>
            </w:r>
          </w:p>
          <w:p w14:paraId="0E4B7839">
            <w:pPr>
              <w:keepNext w:val="0"/>
              <w:keepLines w:val="0"/>
              <w:pageBreakBefore w:val="0"/>
              <w:widowControl/>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五、主要功能</w:t>
            </w:r>
          </w:p>
          <w:p w14:paraId="7FB0FDDD">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color w:val="000000"/>
                <w:sz w:val="24"/>
                <w:szCs w:val="24"/>
              </w:rPr>
            </w:pPr>
            <w:r>
              <w:rPr>
                <w:rFonts w:hint="eastAsia" w:ascii="宋体" w:hAnsi="宋体" w:eastAsia="宋体" w:cs="宋体"/>
                <w:color w:val="000000"/>
                <w:kern w:val="0"/>
                <w:sz w:val="24"/>
                <w:szCs w:val="24"/>
                <w:lang w:val="en-US" w:eastAsia="zh-CN"/>
              </w:rPr>
              <w:t>（一）</w:t>
            </w:r>
            <w:r>
              <w:rPr>
                <w:rFonts w:hint="eastAsia" w:ascii="宋体" w:hAnsi="宋体" w:eastAsia="宋体" w:cs="宋体"/>
                <w:b/>
                <w:bCs/>
                <w:color w:val="000000"/>
                <w:sz w:val="24"/>
                <w:szCs w:val="24"/>
              </w:rPr>
              <w:t>系统管理</w:t>
            </w:r>
          </w:p>
          <w:p w14:paraId="46084751">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w:t>
            </w:r>
            <w:r>
              <w:rPr>
                <w:rFonts w:hint="eastAsia" w:ascii="宋体" w:hAnsi="宋体" w:eastAsia="宋体" w:cs="宋体"/>
                <w:color w:val="000000"/>
                <w:sz w:val="24"/>
                <w:szCs w:val="24"/>
              </w:rPr>
              <w:t>用户管理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按管理员、教师、学生进行角色管理，支持单个添加用户、Excel批量导入用户、用户信息修改、批量重置用户密码。</w:t>
            </w:r>
          </w:p>
          <w:p w14:paraId="2864D207">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机构管理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支持组织机构及班级的添加、删除、修改和查找，支持子机构的分级管理，可为子机构设置管理员。</w:t>
            </w:r>
          </w:p>
          <w:p w14:paraId="2292C265">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lang w:val="en-US" w:eastAsia="zh-CN"/>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资源授权</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一类试题、二类试题使用权限均由管理员授权控制，统一管理教师用户试题资源使用权限。资源授权时，支持选择平台试题、平台试卷和机构试卷。</w:t>
            </w:r>
          </w:p>
          <w:p w14:paraId="0039863F">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val="en-US" w:eastAsia="zh-CN"/>
              </w:rPr>
              <w:t>（二）</w:t>
            </w:r>
            <w:r>
              <w:rPr>
                <w:rFonts w:hint="eastAsia" w:ascii="宋体" w:hAnsi="宋体" w:eastAsia="宋体" w:cs="宋体"/>
                <w:b/>
                <w:bCs/>
                <w:color w:val="000000"/>
                <w:kern w:val="0"/>
                <w:sz w:val="24"/>
                <w:szCs w:val="24"/>
              </w:rPr>
              <w:t>教师端功能</w:t>
            </w:r>
          </w:p>
          <w:p w14:paraId="09F47B53">
            <w:pPr>
              <w:pStyle w:val="44"/>
              <w:keepNext w:val="0"/>
              <w:keepLines w:val="0"/>
              <w:pageBreakBefore w:val="0"/>
              <w:widowControl/>
              <w:numPr>
                <w:ilvl w:val="0"/>
                <w:numId w:val="9"/>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组卷功能</w:t>
            </w:r>
          </w:p>
          <w:p w14:paraId="530719F8">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 支持平台试题、私有题库独立组卷，也支持私有试题与平台试题混合组卷。</w:t>
            </w:r>
          </w:p>
          <w:p w14:paraId="7C6A4670">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支持按学科、考纲组卷，智能组卷，手动组卷，合并试卷，模板组卷等多种组卷方式。智能组卷可设置学科章节抽题比例和必考知识点。</w:t>
            </w:r>
          </w:p>
          <w:p w14:paraId="0B9EAFCF">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lang w:val="en-US"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可按学科、题型、难易度、大纲要求、认知层次等指标进行试题条件筛选。</w:t>
            </w:r>
          </w:p>
          <w:p w14:paraId="5702D907">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可对试卷进行修改、删除、复制及试卷加密，试卷加密后除组卷人外其他人要查看试卷均需要输入试卷密码才能查看。</w:t>
            </w:r>
          </w:p>
          <w:p w14:paraId="4690330C">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支持保存试卷草稿。</w:t>
            </w:r>
          </w:p>
          <w:p w14:paraId="2DF3CA97">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支持按试卷名称、学科目录、使用状态、组卷时间和组卷人查找试卷。</w:t>
            </w:r>
          </w:p>
          <w:p w14:paraId="5D2E2496">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 xml:space="preserve"> 支持试卷按创建时间和使用次数进行排序管理。</w:t>
            </w:r>
          </w:p>
          <w:p w14:paraId="5666C68D">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 xml:space="preserve"> 支持试卷回收站功能，可还原删除的试卷。</w:t>
            </w:r>
          </w:p>
          <w:p w14:paraId="17E984FA">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考试管理</w:t>
            </w:r>
          </w:p>
          <w:p w14:paraId="0FC51796">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支持电脑、手机在线考试，和线下</w:t>
            </w:r>
            <w:r>
              <w:rPr>
                <w:rFonts w:hint="eastAsia" w:ascii="宋体" w:hAnsi="宋体" w:eastAsia="宋体" w:cs="宋体"/>
                <w:color w:val="000000"/>
                <w:sz w:val="24"/>
                <w:szCs w:val="24"/>
                <w:lang w:eastAsia="zh-CN"/>
              </w:rPr>
              <w:t>导出打印</w:t>
            </w:r>
            <w:r>
              <w:rPr>
                <w:rFonts w:hint="eastAsia" w:ascii="宋体" w:hAnsi="宋体" w:eastAsia="宋体" w:cs="宋体"/>
                <w:color w:val="000000"/>
                <w:sz w:val="24"/>
                <w:szCs w:val="24"/>
              </w:rPr>
              <w:t>纸质考试。</w:t>
            </w:r>
          </w:p>
          <w:p w14:paraId="01D63E29">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考试支持学生添加、删除管理，导出名单及撤回考试发布。</w:t>
            </w:r>
          </w:p>
          <w:p w14:paraId="4F96A36C">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考试发布对象可按班级名称、学生登录名、学号、姓名查找选择，支持按学生姓名、学生学号、学生登录用户名批量导入学生。</w:t>
            </w:r>
          </w:p>
          <w:p w14:paraId="7625423D">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lang w:val="en-US"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支持回看试题设置，是否允许回看试题、允许同题型回看试题。</w:t>
            </w:r>
          </w:p>
          <w:p w14:paraId="16A3C38C">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支持防作弊设置：</w:t>
            </w:r>
          </w:p>
          <w:p w14:paraId="46B0919C">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A.</w:t>
            </w:r>
            <w:r>
              <w:rPr>
                <w:rFonts w:hint="eastAsia" w:ascii="宋体" w:hAnsi="宋体" w:eastAsia="宋体" w:cs="宋体"/>
                <w:color w:val="000000"/>
                <w:sz w:val="24"/>
                <w:szCs w:val="24"/>
              </w:rPr>
              <w:t>可设置试卷试题固定排序、试题随机、选项随机、试题与选项随机；</w:t>
            </w:r>
          </w:p>
          <w:p w14:paraId="03B79FC2">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B.</w:t>
            </w:r>
            <w:r>
              <w:rPr>
                <w:rFonts w:hint="eastAsia" w:ascii="宋体" w:hAnsi="宋体" w:eastAsia="宋体" w:cs="宋体"/>
                <w:color w:val="000000"/>
                <w:sz w:val="24"/>
                <w:szCs w:val="24"/>
              </w:rPr>
              <w:t>PC防作弊客户端在考生进入考试状态后，在未交卷前系统禁止中断考试状态或启用其他软件；</w:t>
            </w:r>
          </w:p>
          <w:p w14:paraId="36982098">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C.</w:t>
            </w:r>
            <w:r>
              <w:rPr>
                <w:rFonts w:hint="eastAsia" w:ascii="宋体" w:hAnsi="宋体" w:eastAsia="宋体" w:cs="宋体"/>
                <w:color w:val="000000"/>
                <w:sz w:val="24"/>
                <w:szCs w:val="24"/>
              </w:rPr>
              <w:t>App答题终端支持防切屏密码的设置。</w:t>
            </w:r>
          </w:p>
          <w:p w14:paraId="6DB43BD0">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6）可设置允许学生查看分数时间，按永不显示、考试结束后显示及自定义显示时间选择。</w:t>
            </w:r>
          </w:p>
          <w:p w14:paraId="6B191128">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7）支持编辑考试须知，考生登录个人账号可以看到相关考试公告和须知。</w:t>
            </w:r>
          </w:p>
          <w:p w14:paraId="59D172DD">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8）支持设置临时密码，临时密码只针对本场考试有效，学生可以通过临时密码在考试开始前登录账号，考试结束之后临时密码作废，临时密码不影响使用正式密码登录账号。</w:t>
            </w:r>
          </w:p>
          <w:p w14:paraId="7D21E15B">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bCs/>
                <w:kern w:val="0"/>
                <w:sz w:val="24"/>
                <w:szCs w:val="24"/>
                <w:lang w:val="en-US" w:eastAsia="zh-CN"/>
              </w:rPr>
              <w:t>★</w:t>
            </w:r>
            <w:r>
              <w:rPr>
                <w:rFonts w:hint="eastAsia" w:ascii="宋体" w:hAnsi="宋体" w:eastAsia="宋体" w:cs="宋体"/>
                <w:color w:val="000000"/>
                <w:sz w:val="24"/>
                <w:szCs w:val="24"/>
                <w:lang w:val="en-US" w:eastAsia="zh-CN"/>
              </w:rPr>
              <w:t>9）支持机构错题库，将学生考试答题的错题进行汇总分析，包括学科章节下错题数量、错题知识点分布、错题内容、错题总作答次数及答错次数等，图表可视化呈现。</w:t>
            </w:r>
          </w:p>
          <w:p w14:paraId="6D1DBB28">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lang w:val="en-US" w:eastAsia="zh-CN"/>
              </w:rPr>
              <w:t>★</w:t>
            </w:r>
            <w:r>
              <w:rPr>
                <w:rFonts w:hint="eastAsia" w:ascii="宋体" w:hAnsi="宋体" w:eastAsia="宋体" w:cs="宋体"/>
                <w:color w:val="000000"/>
                <w:sz w:val="24"/>
                <w:szCs w:val="24"/>
                <w:lang w:val="en-US" w:eastAsia="zh-CN"/>
              </w:rPr>
              <w:t>10）支持组织补考，可以根据分数筛选需要补考的学生</w:t>
            </w:r>
            <w:r>
              <w:rPr>
                <w:rFonts w:hint="eastAsia" w:ascii="宋体" w:hAnsi="宋体" w:eastAsia="宋体" w:cs="宋体"/>
                <w:color w:val="000000"/>
                <w:sz w:val="24"/>
                <w:szCs w:val="24"/>
              </w:rPr>
              <w:t>。</w:t>
            </w:r>
          </w:p>
          <w:p w14:paraId="18D9987E">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作业管理</w:t>
            </w:r>
          </w:p>
          <w:p w14:paraId="515F9203">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1）支持电脑、手机在线考试</w:t>
            </w:r>
          </w:p>
          <w:p w14:paraId="34D9BEA4">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2）可设置作业开始和结束时间，并支持手动结束作业。</w:t>
            </w:r>
          </w:p>
          <w:p w14:paraId="6C0128B1">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3）可限制或不限制作业的答题时长。</w:t>
            </w:r>
          </w:p>
          <w:p w14:paraId="49639735">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4）支持学生添加、导出名单及撤回发布。</w:t>
            </w:r>
          </w:p>
          <w:p w14:paraId="57D649AF">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5）作业发布对象可按班级名称、学生登录名、学号、姓名查找选择，支持按学生姓名、学生学号、学生登录用户名批量导入学</w:t>
            </w:r>
            <w:r>
              <w:rPr>
                <w:rFonts w:hint="eastAsia" w:ascii="宋体" w:hAnsi="宋体" w:eastAsia="宋体" w:cs="宋体"/>
                <w:color w:val="000000"/>
                <w:kern w:val="0"/>
                <w:sz w:val="24"/>
                <w:szCs w:val="24"/>
                <w:lang w:val="en-US" w:eastAsia="zh-CN" w:bidi="ar-SA"/>
              </w:rPr>
              <w:t>生。</w:t>
            </w:r>
          </w:p>
          <w:p w14:paraId="5DBAA449">
            <w:pPr>
              <w:keepNext w:val="0"/>
              <w:keepLines w:val="0"/>
              <w:pageBreakBefore w:val="0"/>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lang w:val="en-US"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支持防作弊设置：</w:t>
            </w:r>
          </w:p>
          <w:p w14:paraId="7442282C">
            <w:pPr>
              <w:keepNext w:val="0"/>
              <w:keepLines w:val="0"/>
              <w:pageBreakBefore w:val="0"/>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A.</w:t>
            </w:r>
            <w:r>
              <w:rPr>
                <w:rFonts w:hint="eastAsia" w:ascii="宋体" w:hAnsi="宋体" w:eastAsia="宋体" w:cs="宋体"/>
                <w:color w:val="000000"/>
                <w:sz w:val="24"/>
                <w:szCs w:val="24"/>
              </w:rPr>
              <w:t xml:space="preserve">可设置试卷试题固定排序、试题随机、选项随机、试题与选项随机； </w:t>
            </w:r>
          </w:p>
          <w:p w14:paraId="0F357DBC">
            <w:pPr>
              <w:keepNext w:val="0"/>
              <w:keepLines w:val="0"/>
              <w:pageBreakBefore w:val="0"/>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B.</w:t>
            </w:r>
            <w:r>
              <w:rPr>
                <w:rFonts w:hint="eastAsia" w:ascii="宋体" w:hAnsi="宋体" w:eastAsia="宋体" w:cs="宋体"/>
                <w:color w:val="000000"/>
                <w:sz w:val="24"/>
                <w:szCs w:val="24"/>
              </w:rPr>
              <w:t>App答题终端支持防切屏密码的设置；</w:t>
            </w:r>
          </w:p>
          <w:p w14:paraId="58DBE48F">
            <w:pPr>
              <w:keepNext w:val="0"/>
              <w:keepLines w:val="0"/>
              <w:pageBreakBefore w:val="0"/>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可设置允许学生查看答案时间，按交卷后显示、作业结束后显示、自定义时间、不允许查看选择。</w:t>
            </w:r>
          </w:p>
          <w:p w14:paraId="663BBD2B">
            <w:pPr>
              <w:keepNext w:val="0"/>
              <w:keepLines w:val="0"/>
              <w:pageBreakBefore w:val="0"/>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支持设置是否允许错题进入学生个人错题库。</w:t>
            </w:r>
          </w:p>
          <w:p w14:paraId="01DF5186">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b/>
                <w:bCs/>
                <w:color w:val="000000"/>
                <w:sz w:val="24"/>
                <w:szCs w:val="24"/>
              </w:rPr>
              <w:t>阅卷管理</w:t>
            </w:r>
          </w:p>
          <w:p w14:paraId="71187A48">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客观题系统自动阅卷，主观题在线分配阅卷。</w:t>
            </w:r>
          </w:p>
          <w:p w14:paraId="4CB5DA82">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支持分配阅卷任务，可按单个或批量选择添加阅卷教师。</w:t>
            </w:r>
          </w:p>
          <w:p w14:paraId="4AC859A8">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支持盲判试卷，教师在阅卷时隐藏学生姓名和学号。</w:t>
            </w:r>
          </w:p>
          <w:p w14:paraId="649F862F">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支持试卷审核，阅卷完成后增加试卷审核流程。</w:t>
            </w:r>
          </w:p>
          <w:p w14:paraId="25224F87">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阅卷任务分配完成后</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支持查看阅卷进度。</w:t>
            </w:r>
          </w:p>
          <w:p w14:paraId="713C696C">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支持阅卷任务转移，教师可以将自己未完成的阅卷任务转移给其他教师。</w:t>
            </w:r>
          </w:p>
          <w:p w14:paraId="58DE107F">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可对阅卷填写批注并修改阅卷结果。</w:t>
            </w:r>
          </w:p>
          <w:p w14:paraId="039B4689">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b/>
                <w:bCs/>
                <w:color w:val="000000"/>
                <w:sz w:val="24"/>
                <w:szCs w:val="24"/>
              </w:rPr>
              <w:t>监考管理</w:t>
            </w:r>
          </w:p>
          <w:p w14:paraId="7A79FDD5">
            <w:pPr>
              <w:keepNext w:val="0"/>
              <w:keepLines w:val="0"/>
              <w:pageBreakBefore w:val="0"/>
              <w:numPr>
                <w:ilvl w:val="0"/>
                <w:numId w:val="10"/>
              </w:numPr>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管理员可以对老师进行监考授权，被授权的老师即可对该场考试进行监考。</w:t>
            </w:r>
          </w:p>
          <w:p w14:paraId="53CC2C79">
            <w:pPr>
              <w:keepNext w:val="0"/>
              <w:keepLines w:val="0"/>
              <w:pageBreakBefore w:val="0"/>
              <w:numPr>
                <w:ilvl w:val="0"/>
                <w:numId w:val="10"/>
              </w:numPr>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支持撤销交卷，可将考生的“已交卷”状态修改为“考试中”状态，继而学生可以继续答题。修改状态支持单个修改和批量修改。</w:t>
            </w:r>
          </w:p>
          <w:p w14:paraId="39085DB6">
            <w:pPr>
              <w:keepNext w:val="0"/>
              <w:keepLines w:val="0"/>
              <w:pageBreakBefore w:val="0"/>
              <w:numPr>
                <w:ilvl w:val="0"/>
                <w:numId w:val="10"/>
              </w:numPr>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支持考试延时，可以对“考试中”状态的考生进行考试延时的操作，支持单个延时和批量延时。</w:t>
            </w:r>
          </w:p>
          <w:p w14:paraId="0235E03E">
            <w:pPr>
              <w:keepNext w:val="0"/>
              <w:keepLines w:val="0"/>
              <w:pageBreakBefore w:val="0"/>
              <w:numPr>
                <w:ilvl w:val="0"/>
                <w:numId w:val="10"/>
              </w:numPr>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支持强制交卷，可以对“考试中”状态的考生进行强制收卷的操作。强制收卷后，学生将退出答题页面不可继续作答。</w:t>
            </w:r>
          </w:p>
          <w:p w14:paraId="58D38223">
            <w:pPr>
              <w:keepNext w:val="0"/>
              <w:keepLines w:val="0"/>
              <w:pageBreakBefore w:val="0"/>
              <w:numPr>
                <w:ilvl w:val="0"/>
                <w:numId w:val="10"/>
              </w:numPr>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支持App防切屏密码管理，</w:t>
            </w:r>
            <w:r>
              <w:rPr>
                <w:rFonts w:hint="eastAsia" w:ascii="宋体" w:hAnsi="宋体" w:eastAsia="宋体" w:cs="宋体"/>
                <w:color w:val="000000"/>
                <w:sz w:val="24"/>
                <w:szCs w:val="24"/>
                <w:lang w:eastAsia="zh-Hans"/>
              </w:rPr>
              <w:t>可以在考试的监考的过程中查看防切屏密码并重置防切屏密码。</w:t>
            </w:r>
          </w:p>
          <w:p w14:paraId="49D5F130">
            <w:pPr>
              <w:keepNext w:val="0"/>
              <w:keepLines w:val="0"/>
              <w:pageBreakBefore w:val="0"/>
              <w:numPr>
                <w:ilvl w:val="0"/>
                <w:numId w:val="10"/>
              </w:numPr>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支持解除防切屏，可以对“切屏中”状态的考生进行解除防切屏的操作。解除防切屏后，考生进入答题页面时，不需要输入切屏密码。</w:t>
            </w:r>
          </w:p>
          <w:p w14:paraId="5B6BA981">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b/>
                <w:bCs/>
                <w:color w:val="000000"/>
                <w:sz w:val="24"/>
                <w:szCs w:val="24"/>
              </w:rPr>
              <w:t>数据分析</w:t>
            </w:r>
          </w:p>
          <w:p w14:paraId="740CBDFA">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lang w:val="en-US"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支持考试、作业分析，进行多维度考试数据分析，包含成绩分析、试卷分析、试题分析，图表可视化呈现考试分析报告。</w:t>
            </w:r>
          </w:p>
          <w:p w14:paraId="3376F150">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成绩分析页面包括：班级成绩分析表格、成绩汇总表格、成绩分析直方图等内容。</w:t>
            </w:r>
          </w:p>
          <w:p w14:paraId="7B51117C">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试卷分</w:t>
            </w:r>
            <w:r>
              <w:rPr>
                <w:rFonts w:hint="eastAsia" w:ascii="宋体" w:hAnsi="宋体" w:eastAsia="宋体" w:cs="宋体"/>
                <w:color w:val="000000"/>
                <w:sz w:val="24"/>
                <w:szCs w:val="24"/>
                <w:highlight w:val="none"/>
              </w:rPr>
              <w:t>析页面包括：学科章节分析、题型分析、认知层次分析、大纲要求占比分布、难易度占比</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rPr>
              <w:t>布</w:t>
            </w:r>
            <w:r>
              <w:rPr>
                <w:rFonts w:hint="eastAsia" w:ascii="宋体" w:hAnsi="宋体" w:eastAsia="宋体" w:cs="宋体"/>
                <w:color w:val="000000"/>
                <w:sz w:val="24"/>
                <w:szCs w:val="24"/>
              </w:rPr>
              <w:t>。</w:t>
            </w:r>
          </w:p>
          <w:p w14:paraId="26A09290">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试题分析页面包括：所有试题类型选项、选择人数、比例等信息。</w:t>
            </w:r>
          </w:p>
          <w:p w14:paraId="2029B02C">
            <w:pPr>
              <w:pStyle w:val="4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7.私有题库</w:t>
            </w:r>
          </w:p>
          <w:p w14:paraId="3BF8DC69">
            <w:pPr>
              <w:pStyle w:val="44"/>
              <w:keepNext w:val="0"/>
              <w:keepLines w:val="0"/>
              <w:pageBreakBefore w:val="0"/>
              <w:widowControl/>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ascii="宋体" w:hAnsi="宋体" w:cs="宋体"/>
                <w:kern w:val="0"/>
                <w:sz w:val="24"/>
                <w:szCs w:val="24"/>
              </w:rPr>
            </w:pPr>
            <w:r>
              <w:rPr>
                <w:rFonts w:hint="eastAsia" w:ascii="宋体" w:hAnsi="宋体" w:cs="宋体"/>
                <w:kern w:val="0"/>
                <w:sz w:val="24"/>
                <w:szCs w:val="24"/>
              </w:rPr>
              <w:t>院校可以</w:t>
            </w:r>
            <w:r>
              <w:rPr>
                <w:rFonts w:ascii="宋体" w:hAnsi="宋体" w:cs="宋体"/>
                <w:kern w:val="0"/>
                <w:sz w:val="24"/>
                <w:szCs w:val="24"/>
              </w:rPr>
              <w:t>组建私有题库，通过私有题库进行私有试题管理。</w:t>
            </w:r>
          </w:p>
          <w:p w14:paraId="49BE6166">
            <w:pPr>
              <w:pStyle w:val="4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kern w:val="0"/>
                <w:sz w:val="24"/>
                <w:szCs w:val="24"/>
              </w:rPr>
            </w:pPr>
            <w:r>
              <w:rPr>
                <w:rFonts w:hint="eastAsia" w:ascii="宋体" w:hAnsi="宋体" w:eastAsia="宋体" w:cs="宋体"/>
                <w:b/>
                <w:bCs/>
                <w:kern w:val="0"/>
                <w:sz w:val="24"/>
                <w:szCs w:val="24"/>
                <w:lang w:val="en-US" w:eastAsia="zh-CN"/>
              </w:rPr>
              <w:t>★</w:t>
            </w:r>
            <w:r>
              <w:rPr>
                <w:rFonts w:hint="eastAsia" w:ascii="宋体" w:hAnsi="宋体" w:cs="宋体"/>
                <w:b/>
                <w:bCs/>
                <w:kern w:val="0"/>
                <w:sz w:val="24"/>
                <w:szCs w:val="24"/>
                <w:lang w:val="en-US" w:eastAsia="zh-CN"/>
              </w:rPr>
              <w:t>2）</w:t>
            </w:r>
            <w:r>
              <w:rPr>
                <w:rFonts w:hint="eastAsia" w:ascii="宋体" w:hAnsi="宋体" w:cs="宋体"/>
                <w:kern w:val="0"/>
                <w:sz w:val="24"/>
                <w:szCs w:val="24"/>
              </w:rPr>
              <w:t>支持试题编写录入，批量EXCEL表导入，并可对试题进行属性标引。</w:t>
            </w:r>
          </w:p>
          <w:p w14:paraId="235581AA">
            <w:pPr>
              <w:pStyle w:val="4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提供试题查重功能。</w:t>
            </w:r>
          </w:p>
          <w:p w14:paraId="47C3BF32">
            <w:pPr>
              <w:pStyle w:val="4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ascii="宋体" w:hAnsi="宋体" w:cs="宋体"/>
                <w:kern w:val="0"/>
                <w:sz w:val="24"/>
                <w:szCs w:val="24"/>
              </w:rPr>
            </w:pPr>
            <w:r>
              <w:rPr>
                <w:rFonts w:hint="eastAsia" w:ascii="宋体" w:hAnsi="宋体" w:cs="微软雅黑"/>
                <w:color w:val="000000"/>
                <w:sz w:val="24"/>
                <w:szCs w:val="24"/>
                <w:lang w:val="en-US" w:eastAsia="zh-CN"/>
              </w:rPr>
              <w:t>4）</w:t>
            </w:r>
            <w:r>
              <w:rPr>
                <w:rFonts w:hint="eastAsia" w:ascii="宋体" w:hAnsi="宋体" w:cs="微软雅黑"/>
                <w:color w:val="000000"/>
                <w:sz w:val="24"/>
                <w:szCs w:val="24"/>
              </w:rPr>
              <w:t>支持自建目录，包含专业、学科、章节。</w:t>
            </w:r>
          </w:p>
          <w:p w14:paraId="05BD7B1A">
            <w:pPr>
              <w:pStyle w:val="4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ascii="宋体" w:hAnsi="宋体" w:cs="微软雅黑"/>
                <w:color w:val="00000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可进行私有题库权限管理，</w:t>
            </w:r>
            <w:r>
              <w:rPr>
                <w:rFonts w:hint="eastAsia" w:ascii="宋体" w:hAnsi="宋体" w:cs="微软雅黑"/>
                <w:color w:val="000000"/>
                <w:sz w:val="24"/>
                <w:szCs w:val="24"/>
              </w:rPr>
              <w:t>管理员可以为教师用户分配是否具有私有题库以及</w:t>
            </w:r>
            <w:r>
              <w:rPr>
                <w:rFonts w:hint="eastAsia" w:ascii="宋体" w:hAnsi="宋体" w:cs="微软雅黑"/>
                <w:sz w:val="24"/>
                <w:szCs w:val="24"/>
              </w:rPr>
              <w:t>是否允许自建目录</w:t>
            </w:r>
            <w:r>
              <w:rPr>
                <w:rFonts w:hint="eastAsia" w:ascii="宋体" w:hAnsi="宋体" w:cs="微软雅黑"/>
                <w:color w:val="000000"/>
                <w:sz w:val="24"/>
                <w:szCs w:val="24"/>
              </w:rPr>
              <w:t>的权限。</w:t>
            </w:r>
          </w:p>
          <w:p w14:paraId="38032D66">
            <w:pPr>
              <w:pStyle w:val="44"/>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宋体" w:hAnsi="宋体" w:cs="微软雅黑"/>
                <w:color w:val="000000"/>
                <w:sz w:val="24"/>
                <w:szCs w:val="24"/>
              </w:rPr>
            </w:pPr>
            <w:r>
              <w:rPr>
                <w:rFonts w:hint="eastAsia" w:ascii="宋体" w:hAnsi="宋体" w:eastAsia="宋体" w:cs="宋体"/>
                <w:b/>
                <w:bCs/>
                <w:kern w:val="0"/>
                <w:sz w:val="24"/>
                <w:szCs w:val="24"/>
                <w:lang w:val="en-US" w:eastAsia="zh-CN"/>
              </w:rPr>
              <w:t>★</w:t>
            </w:r>
            <w:r>
              <w:rPr>
                <w:rFonts w:hint="eastAsia" w:ascii="宋体" w:hAnsi="宋体" w:cs="宋体"/>
                <w:b/>
                <w:bCs/>
                <w:kern w:val="0"/>
                <w:sz w:val="24"/>
                <w:szCs w:val="24"/>
                <w:lang w:val="en-US" w:eastAsia="zh-CN"/>
              </w:rPr>
              <w:t>6）</w:t>
            </w:r>
            <w:r>
              <w:rPr>
                <w:rFonts w:hint="eastAsia" w:ascii="宋体" w:hAnsi="宋体" w:cs="微软雅黑"/>
                <w:color w:val="000000"/>
                <w:sz w:val="24"/>
                <w:szCs w:val="24"/>
              </w:rPr>
              <w:t>支持已发布试题管理，可以查看已发布试题的数量和试题详情，并在已发布试题管理的试题列表中，可以对试题进行修订、停用、启用、删除、迁移等操作，还可以查看每道试题的使用情况。</w:t>
            </w:r>
          </w:p>
          <w:p w14:paraId="236E3D45">
            <w:pPr>
              <w:pStyle w:val="4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ascii="宋体" w:hAnsi="宋体" w:cs="微软雅黑"/>
                <w:sz w:val="24"/>
                <w:szCs w:val="24"/>
              </w:rPr>
            </w:pPr>
            <w:r>
              <w:rPr>
                <w:rFonts w:hint="eastAsia" w:ascii="宋体" w:hAnsi="宋体" w:cs="微软雅黑"/>
                <w:sz w:val="24"/>
                <w:szCs w:val="24"/>
                <w:lang w:val="en-US" w:eastAsia="zh-CN"/>
              </w:rPr>
              <w:t>7）</w:t>
            </w:r>
            <w:r>
              <w:rPr>
                <w:rFonts w:hint="eastAsia" w:ascii="宋体" w:hAnsi="宋体" w:cs="微软雅黑"/>
                <w:sz w:val="24"/>
                <w:szCs w:val="24"/>
              </w:rPr>
              <w:t>支持试题迁移，可以将试题从原目录迁移到其他目录。</w:t>
            </w:r>
          </w:p>
          <w:p w14:paraId="706DE06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eastAsia" w:ascii="宋体" w:hAnsi="宋体" w:eastAsia="宋体" w:cs="宋体"/>
                <w:color w:val="000000"/>
                <w:sz w:val="24"/>
                <w:szCs w:val="24"/>
                <w:lang w:val="en-US" w:eastAsia="zh-CN"/>
              </w:rPr>
            </w:pPr>
            <w:r>
              <w:rPr>
                <w:rFonts w:hint="eastAsia" w:ascii="宋体" w:hAnsi="宋体" w:eastAsia="宋体" w:cs="宋体"/>
                <w:b/>
                <w:bCs/>
                <w:kern w:val="0"/>
                <w:sz w:val="24"/>
                <w:szCs w:val="24"/>
                <w:lang w:val="en-US" w:eastAsia="zh-CN"/>
              </w:rPr>
              <w:t>★</w:t>
            </w:r>
            <w:r>
              <w:rPr>
                <w:rFonts w:hint="eastAsia" w:ascii="宋体" w:hAnsi="宋体" w:cs="宋体"/>
                <w:b/>
                <w:bCs/>
                <w:kern w:val="0"/>
                <w:sz w:val="24"/>
                <w:szCs w:val="24"/>
                <w:lang w:val="en-US" w:eastAsia="zh-CN"/>
              </w:rPr>
              <w:t>8）</w:t>
            </w:r>
            <w:r>
              <w:rPr>
                <w:rFonts w:hint="eastAsia" w:ascii="宋体" w:hAnsi="宋体" w:cs="宋体"/>
                <w:kern w:val="0"/>
                <w:sz w:val="24"/>
                <w:szCs w:val="24"/>
              </w:rPr>
              <w:t>支持试题统计，</w:t>
            </w:r>
            <w:r>
              <w:rPr>
                <w:rFonts w:hint="eastAsia" w:ascii="宋体" w:hAnsi="宋体" w:cs="微软雅黑"/>
                <w:sz w:val="24"/>
                <w:szCs w:val="24"/>
              </w:rPr>
              <w:t>可以查看教师试题编写进度，并查看各学科试题在题型、试题种类、预估难度、认知层次、大纲要求等方面的分布情况。</w:t>
            </w:r>
          </w:p>
          <w:p w14:paraId="387A59AE">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（三）学生端功能</w:t>
            </w:r>
          </w:p>
          <w:p w14:paraId="22F2E896">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sz w:val="24"/>
                <w:szCs w:val="24"/>
              </w:rPr>
              <w:t>学生可在线答题，作业支持多次作答。</w:t>
            </w:r>
          </w:p>
          <w:p w14:paraId="7FFDA1B7">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sz w:val="24"/>
                <w:szCs w:val="24"/>
              </w:rPr>
              <w:t>支持作业分析，试题收藏，错题库，错题重组重做，个人信息、密码管理。</w:t>
            </w:r>
          </w:p>
          <w:p w14:paraId="1B87CF7D">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支持答题统计，可查看学生个人总得分率、答题总数、答对总数、各学科答题统计、各学科章节答题情况</w:t>
            </w:r>
            <w:r>
              <w:rPr>
                <w:rFonts w:hint="eastAsia" w:ascii="宋体" w:hAnsi="宋体" w:eastAsia="宋体" w:cs="宋体"/>
                <w:color w:val="000000"/>
                <w:sz w:val="24"/>
                <w:szCs w:val="24"/>
                <w:lang w:eastAsia="zh-CN"/>
              </w:rPr>
              <w:t>。</w:t>
            </w:r>
          </w:p>
          <w:p w14:paraId="2E5E68E9">
            <w:pPr>
              <w:pStyle w:val="4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（四）APP功能</w:t>
            </w:r>
          </w:p>
          <w:p w14:paraId="59A26BD6">
            <w:pPr>
              <w:pStyle w:val="44"/>
              <w:keepNext w:val="0"/>
              <w:keepLines w:val="0"/>
              <w:pageBreakBefore w:val="0"/>
              <w:widowControl/>
              <w:numPr>
                <w:ilvl w:val="0"/>
                <w:numId w:val="12"/>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教师端功能</w:t>
            </w:r>
          </w:p>
          <w:p w14:paraId="493A0377">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sz w:val="24"/>
                <w:szCs w:val="24"/>
              </w:rPr>
              <w:t>支持通过APP进行作业的手动组卷、智能组卷</w:t>
            </w:r>
            <w:r>
              <w:rPr>
                <w:rFonts w:hint="eastAsia" w:ascii="宋体" w:hAnsi="宋体" w:eastAsia="宋体" w:cs="宋体"/>
                <w:color w:val="000000"/>
                <w:sz w:val="24"/>
                <w:szCs w:val="24"/>
                <w:lang w:eastAsia="zh-CN"/>
              </w:rPr>
              <w:t>。</w:t>
            </w:r>
          </w:p>
          <w:p w14:paraId="1D1DDE47">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sz w:val="24"/>
                <w:szCs w:val="24"/>
              </w:rPr>
              <w:t>支持新建作业、删除作业，查看作业整体分析和学生作答情况分析。</w:t>
            </w:r>
          </w:p>
          <w:p w14:paraId="0FE25313">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支持班级管理，可关联班级并解除关联。</w:t>
            </w:r>
          </w:p>
          <w:p w14:paraId="151FC45C">
            <w:pPr>
              <w:keepNext w:val="0"/>
              <w:keepLines w:val="0"/>
              <w:pageBreakBefore w:val="0"/>
              <w:numPr>
                <w:ilvl w:val="0"/>
                <w:numId w:val="12"/>
              </w:numPr>
              <w:kinsoku/>
              <w:wordWrap/>
              <w:overflowPunct/>
              <w:topLinePunct w:val="0"/>
              <w:autoSpaceDE/>
              <w:autoSpaceDN/>
              <w:bidi w:val="0"/>
              <w:adjustRightInd/>
              <w:snapToGrid/>
              <w:spacing w:line="460" w:lineRule="exact"/>
              <w:ind w:left="0" w:leftChars="0" w:hanging="360" w:firstLineChars="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学生端功能</w:t>
            </w:r>
          </w:p>
          <w:p w14:paraId="5BF97C46">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sz w:val="24"/>
                <w:szCs w:val="24"/>
              </w:rPr>
              <w:t>学生可在线答题，作业支持多次作答。</w:t>
            </w:r>
          </w:p>
          <w:p w14:paraId="0B4B2258">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sz w:val="24"/>
                <w:szCs w:val="24"/>
              </w:rPr>
              <w:t>支持作业分析，试题收藏，错题库，错题重组重做，个人信息、密码管理。</w:t>
            </w:r>
          </w:p>
          <w:p w14:paraId="6FBC191A">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支持答题统计，可查看学生个人总得分率、答题总数、答对总数、各学科答题统计、各学科章节答题情况</w:t>
            </w:r>
          </w:p>
          <w:p w14:paraId="0574DD48">
            <w:pPr>
              <w:pStyle w:val="44"/>
              <w:keepNext w:val="0"/>
              <w:keepLines w:val="0"/>
              <w:pageBreakBefore w:val="0"/>
              <w:widowControl/>
              <w:numPr>
                <w:ilvl w:val="0"/>
                <w:numId w:val="0"/>
              </w:numPr>
              <w:tabs>
                <w:tab w:val="left" w:pos="222"/>
              </w:tabs>
              <w:kinsoku/>
              <w:wordWrap/>
              <w:overflowPunct/>
              <w:topLinePunct w:val="0"/>
              <w:autoSpaceDE/>
              <w:autoSpaceDN/>
              <w:bidi w:val="0"/>
              <w:adjustRightInd/>
              <w:snapToGrid/>
              <w:spacing w:line="460" w:lineRule="exact"/>
              <w:ind w:left="0" w:firstLine="0" w:firstLineChars="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（五）局域网版</w:t>
            </w:r>
          </w:p>
          <w:p w14:paraId="7A911AD9">
            <w:pPr>
              <w:pStyle w:val="44"/>
              <w:keepNext w:val="0"/>
              <w:keepLines w:val="0"/>
              <w:pageBreakBefore w:val="0"/>
              <w:widowControl/>
              <w:numPr>
                <w:ilvl w:val="0"/>
                <w:numId w:val="13"/>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教师端功能</w:t>
            </w:r>
          </w:p>
          <w:p w14:paraId="3C5F4E90">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sz w:val="24"/>
                <w:szCs w:val="24"/>
              </w:rPr>
              <w:t>支持使用电脑操作一类试题试卷的组建与考试功能。</w:t>
            </w:r>
          </w:p>
          <w:p w14:paraId="5608DD40">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sz w:val="24"/>
                <w:szCs w:val="24"/>
              </w:rPr>
              <w:t>支持一类题库组卷功能：手动组卷、合并组卷。</w:t>
            </w:r>
          </w:p>
          <w:p w14:paraId="14245046">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支持考试管理：发布、删除、修改考试。</w:t>
            </w:r>
          </w:p>
          <w:p w14:paraId="2C2A7E3B">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sz w:val="24"/>
                <w:szCs w:val="24"/>
              </w:rPr>
              <w:t>支持防作弊措施及查看答案设置：试题、试题选项可随机排序、可自定义是否允许学生查看答案、试题以及查看答案时间。</w:t>
            </w:r>
          </w:p>
          <w:p w14:paraId="2CD12CC3">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sz w:val="24"/>
                <w:szCs w:val="24"/>
              </w:rPr>
              <w:t>支持数据导入：导入院校在线版数据包括试题、试卷、用户数据。</w:t>
            </w:r>
          </w:p>
          <w:p w14:paraId="7B1891FB">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sz w:val="24"/>
                <w:szCs w:val="24"/>
              </w:rPr>
              <w:t>支持数据导出：导出考试答题数据可上传至在线版进行答题数据分析</w:t>
            </w:r>
            <w:r>
              <w:rPr>
                <w:rFonts w:hint="eastAsia" w:ascii="宋体" w:hAnsi="宋体" w:eastAsia="宋体" w:cs="宋体"/>
                <w:color w:val="000000"/>
                <w:kern w:val="0"/>
                <w:sz w:val="24"/>
                <w:szCs w:val="24"/>
              </w:rPr>
              <w:t>。</w:t>
            </w:r>
          </w:p>
          <w:p w14:paraId="13C8AD2B">
            <w:pPr>
              <w:pStyle w:val="44"/>
              <w:keepNext w:val="0"/>
              <w:keepLines w:val="0"/>
              <w:pageBreakBefore w:val="0"/>
              <w:widowControl/>
              <w:numPr>
                <w:ilvl w:val="0"/>
                <w:numId w:val="13"/>
              </w:numPr>
              <w:kinsoku/>
              <w:wordWrap/>
              <w:overflowPunct/>
              <w:topLinePunct w:val="0"/>
              <w:autoSpaceDE/>
              <w:autoSpaceDN/>
              <w:bidi w:val="0"/>
              <w:adjustRightInd/>
              <w:snapToGrid/>
              <w:spacing w:line="460" w:lineRule="exact"/>
              <w:ind w:left="0" w:firstLineChars="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学生端功能</w:t>
            </w:r>
          </w:p>
          <w:p w14:paraId="51AACF83">
            <w:pPr>
              <w:keepNext w:val="0"/>
              <w:keepLines w:val="0"/>
              <w:pageBreakBefore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支持在线答题（考试试卷）、答题结果分析（根据发布考试时的限制，自定义展示）。</w:t>
            </w:r>
          </w:p>
        </w:tc>
      </w:tr>
    </w:tbl>
    <w:p w14:paraId="74802FF4">
      <w:pPr>
        <w:keepNext w:val="0"/>
        <w:keepLines w:val="0"/>
        <w:pageBreakBefore w:val="0"/>
        <w:wordWrap/>
        <w:overflowPunct/>
        <w:topLinePunct w:val="0"/>
        <w:bidi w:val="0"/>
        <w:spacing w:line="480" w:lineRule="exact"/>
        <w:jc w:val="both"/>
        <w:rPr>
          <w:rFonts w:hint="eastAsia"/>
          <w:b/>
          <w:bCs/>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商务要求</w:t>
      </w:r>
      <w:bookmarkEnd w:id="12"/>
      <w:bookmarkEnd w:id="13"/>
      <w:bookmarkEnd w:id="14"/>
      <w:bookmarkEnd w:id="15"/>
      <w:bookmarkEnd w:id="16"/>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54"/>
        <w:gridCol w:w="1606"/>
        <w:gridCol w:w="6965"/>
      </w:tblGrid>
      <w:tr w14:paraId="7100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377F921E">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6472A00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需求名称</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5E3041B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需求说明</w:t>
            </w:r>
          </w:p>
        </w:tc>
      </w:tr>
      <w:tr w14:paraId="0188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536802C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79F91FE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交货地点</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71E4F817">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bCs/>
                <w:kern w:val="0"/>
                <w:sz w:val="24"/>
                <w:szCs w:val="24"/>
              </w:rPr>
            </w:pPr>
            <w:r>
              <w:rPr>
                <w:rFonts w:hint="eastAsia" w:ascii="宋体" w:hAnsi="宋体" w:eastAsia="宋体" w:cs="宋体"/>
                <w:bCs/>
                <w:sz w:val="24"/>
                <w:szCs w:val="24"/>
              </w:rPr>
              <w:t>采购人</w:t>
            </w:r>
            <w:r>
              <w:rPr>
                <w:rFonts w:hint="eastAsia" w:ascii="宋体" w:hAnsi="宋体" w:eastAsia="宋体" w:cs="宋体"/>
                <w:color w:val="000000"/>
                <w:sz w:val="24"/>
                <w:szCs w:val="24"/>
              </w:rPr>
              <w:t>指定地点</w:t>
            </w:r>
            <w:r>
              <w:rPr>
                <w:rFonts w:hint="eastAsia" w:ascii="宋体" w:hAnsi="宋体" w:eastAsia="宋体" w:cs="宋体"/>
                <w:bCs/>
                <w:kern w:val="0"/>
                <w:sz w:val="24"/>
                <w:szCs w:val="24"/>
              </w:rPr>
              <w:t>。</w:t>
            </w:r>
          </w:p>
        </w:tc>
      </w:tr>
      <w:tr w14:paraId="705F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12014B0A">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5AA8613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交货期限</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40D0CAB4">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strike/>
                <w:dstrike w:val="0"/>
                <w:color w:val="FF0000"/>
                <w:sz w:val="24"/>
                <w:szCs w:val="24"/>
                <w:lang w:eastAsia="zh-CN"/>
              </w:rPr>
            </w:pPr>
            <w:r>
              <w:rPr>
                <w:rFonts w:hint="eastAsia" w:ascii="宋体" w:hAnsi="宋体" w:eastAsia="宋体" w:cs="宋体"/>
                <w:b w:val="0"/>
                <w:bCs w:val="0"/>
                <w:color w:val="auto"/>
                <w:sz w:val="24"/>
                <w:szCs w:val="24"/>
                <w:highlight w:val="none"/>
                <w:shd w:val="clear" w:color="auto" w:fill="FFFFFF"/>
              </w:rPr>
              <w:t>签订合同后</w:t>
            </w:r>
            <w:r>
              <w:rPr>
                <w:rFonts w:hint="eastAsia" w:ascii="宋体" w:hAnsi="宋体" w:eastAsia="宋体" w:cs="宋体"/>
                <w:b w:val="0"/>
                <w:bCs w:val="0"/>
                <w:color w:val="auto"/>
                <w:sz w:val="24"/>
                <w:szCs w:val="24"/>
                <w:highlight w:val="none"/>
                <w:shd w:val="clear" w:color="auto" w:fill="FFFFFF"/>
                <w:lang w:val="en-US" w:eastAsia="zh-CN"/>
              </w:rPr>
              <w:t>7个日历日</w:t>
            </w:r>
            <w:r>
              <w:rPr>
                <w:rFonts w:hint="eastAsia" w:ascii="宋体" w:hAnsi="宋体" w:eastAsia="宋体" w:cs="宋体"/>
                <w:b w:val="0"/>
                <w:bCs w:val="0"/>
                <w:color w:val="auto"/>
                <w:sz w:val="24"/>
                <w:szCs w:val="24"/>
                <w:highlight w:val="none"/>
                <w:shd w:val="clear" w:color="auto" w:fill="FFFFFF"/>
              </w:rPr>
              <w:t>内交付使用</w:t>
            </w:r>
            <w:r>
              <w:rPr>
                <w:rFonts w:hint="eastAsia" w:ascii="宋体" w:hAnsi="宋体" w:eastAsia="宋体" w:cs="宋体"/>
                <w:b w:val="0"/>
                <w:bCs w:val="0"/>
                <w:color w:val="auto"/>
                <w:sz w:val="24"/>
                <w:szCs w:val="24"/>
                <w:highlight w:val="none"/>
                <w:shd w:val="clear" w:color="auto" w:fill="FFFFFF"/>
                <w:lang w:eastAsia="zh-CN"/>
              </w:rPr>
              <w:t>。</w:t>
            </w:r>
          </w:p>
        </w:tc>
      </w:tr>
      <w:tr w14:paraId="2F1A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40C3C4EE">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7E77409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付款方式</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0A199AD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bCs/>
                <w:kern w:val="0"/>
                <w:sz w:val="24"/>
                <w:szCs w:val="24"/>
              </w:rPr>
            </w:pPr>
            <w:r>
              <w:rPr>
                <w:rFonts w:hint="eastAsia" w:ascii="宋体" w:hAnsi="宋体" w:eastAsia="宋体" w:cs="宋体"/>
                <w:sz w:val="24"/>
                <w:szCs w:val="24"/>
              </w:rPr>
              <w:t>项目验收合格后，凭成交供应商开具税务发票等付款所需的相关有效凭证于</w:t>
            </w:r>
            <w:r>
              <w:rPr>
                <w:rFonts w:hint="eastAsia" w:ascii="宋体" w:hAnsi="宋体" w:eastAsia="宋体" w:cs="宋体"/>
                <w:sz w:val="24"/>
                <w:szCs w:val="24"/>
                <w:lang w:val="en-US" w:eastAsia="zh-CN"/>
              </w:rPr>
              <w:t>10个工作日</w:t>
            </w:r>
            <w:r>
              <w:rPr>
                <w:rFonts w:hint="eastAsia" w:ascii="宋体" w:hAnsi="宋体" w:eastAsia="宋体" w:cs="宋体"/>
                <w:sz w:val="24"/>
                <w:szCs w:val="24"/>
              </w:rPr>
              <w:t>内支付合同款的100%。</w:t>
            </w:r>
          </w:p>
        </w:tc>
      </w:tr>
      <w:tr w14:paraId="2D8B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59A3F86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3FCBFD7E">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报价方式</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39BF556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strike/>
                <w:kern w:val="0"/>
                <w:sz w:val="24"/>
                <w:szCs w:val="24"/>
              </w:rPr>
            </w:pPr>
            <w:r>
              <w:rPr>
                <w:rFonts w:hint="eastAsia" w:ascii="宋体" w:hAnsi="宋体" w:eastAsia="宋体" w:cs="宋体"/>
                <w:sz w:val="24"/>
                <w:szCs w:val="24"/>
              </w:rPr>
              <w:t>以人民币报价，合同总价包括成交供应商按本合同规定向采购人出售合同项目的一切费用，包括合同货物及其税收、包装、运输、装卸、安装、调试、验收、售后服务及对应的技术资料等费用。</w:t>
            </w:r>
          </w:p>
        </w:tc>
      </w:tr>
      <w:tr w14:paraId="6813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33617888">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6044F0E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验</w:t>
            </w:r>
            <w:r>
              <w:rPr>
                <w:rFonts w:hint="eastAsia" w:ascii="宋体" w:hAnsi="宋体" w:eastAsia="宋体" w:cs="宋体"/>
                <w:sz w:val="24"/>
                <w:szCs w:val="24"/>
              </w:rPr>
              <w:t>收</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5B2D4C75">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1.成交供应商在交货及验收活动中必须遵守采购人的有关规定。</w:t>
            </w:r>
          </w:p>
          <w:p w14:paraId="28D30A38">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2.成交供应商负责本次采购产品的运抵采购人指定的交货地点后由采购人严格按照合同、响应文件及答疑记录进行验收。</w:t>
            </w:r>
          </w:p>
          <w:p w14:paraId="748D5118">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3.最终验收：在收到成交供应商书面验收通知后，由采购人尽快组织相关人员依照相关标准、规范、要求、合同及有关附件要求进行验收。</w:t>
            </w:r>
          </w:p>
          <w:p w14:paraId="0115232B">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4.相关检验检测和验收费用全部由成交供应商承担。</w:t>
            </w:r>
          </w:p>
        </w:tc>
      </w:tr>
      <w:tr w14:paraId="792C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0CD9BB6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5CB09ED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履约保证金</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4620BE07">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highlight w:val="none"/>
                <w:lang w:val="en-US" w:eastAsia="zh-CN" w:bidi="ar-SA"/>
              </w:rPr>
              <w:t>履约保证金金额：合同金额的10%；</w:t>
            </w:r>
          </w:p>
          <w:p w14:paraId="138C6E2C">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2.履约保证金递交方式：合同签订后3个工作日内，成交供应商应以支票、汇票、本票或者金融机构、担保机构出具的保函等非现金形式向采购人递交履约保证金。</w:t>
            </w:r>
          </w:p>
          <w:p w14:paraId="7D2B8611">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3.履约保证金退还方式、时间、条件：履约保证金在本合同履行完毕并验收合格后，由成交供应商向采购人提出退还履约保证金申请，采购人收到成交供应商申请后15个工作日内一次性退还（不计利息）。</w:t>
            </w:r>
          </w:p>
          <w:p w14:paraId="344D51BF">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4.履约保证金不予退还情形：签订合同后，如成交供应商不按双方签订的合同规定履约，则没收其全部履约保证金，履约保证金不足以赔偿损失的，按实际损失赔偿。</w:t>
            </w:r>
          </w:p>
          <w:p w14:paraId="0F17FD3F">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5.逾期退还履约保证金违约责任：采购人逾期退还履约保证金的，应按银行同期存款利率支付逾期利息，但因成交供应商原因造成除外。</w:t>
            </w:r>
          </w:p>
        </w:tc>
      </w:tr>
      <w:tr w14:paraId="4EF4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52470A8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4FFC94C7">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售后服务</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5B0C3A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1.自</w:t>
            </w:r>
            <w:r>
              <w:rPr>
                <w:rFonts w:hint="eastAsia" w:ascii="宋体" w:hAnsi="宋体" w:eastAsia="宋体" w:cs="宋体"/>
                <w:snapToGrid w:val="0"/>
                <w:color w:val="auto"/>
                <w:kern w:val="0"/>
                <w:sz w:val="24"/>
                <w:szCs w:val="24"/>
                <w:lang w:val="en-US" w:eastAsia="zh-CN" w:bidi="ar-SA"/>
              </w:rPr>
              <w:t>项目</w:t>
            </w:r>
            <w:r>
              <w:rPr>
                <w:rFonts w:hint="eastAsia" w:ascii="宋体" w:hAnsi="宋体" w:eastAsia="宋体" w:cs="宋体"/>
                <w:snapToGrid w:val="0"/>
                <w:color w:val="auto"/>
                <w:kern w:val="0"/>
                <w:sz w:val="24"/>
                <w:szCs w:val="24"/>
                <w:lang w:val="en-US" w:eastAsia="en-US" w:bidi="ar-SA"/>
              </w:rPr>
              <w:t>验收合格之日起，成交供应商对所供</w:t>
            </w:r>
            <w:r>
              <w:rPr>
                <w:rFonts w:hint="eastAsia" w:ascii="宋体" w:hAnsi="宋体" w:eastAsia="宋体" w:cs="宋体"/>
                <w:snapToGrid w:val="0"/>
                <w:color w:val="auto"/>
                <w:kern w:val="0"/>
                <w:sz w:val="24"/>
                <w:szCs w:val="24"/>
                <w:lang w:val="en-US" w:eastAsia="zh-CN" w:bidi="ar-SA"/>
              </w:rPr>
              <w:t>服务</w:t>
            </w:r>
            <w:r>
              <w:rPr>
                <w:rFonts w:hint="eastAsia" w:ascii="宋体" w:hAnsi="宋体" w:eastAsia="宋体" w:cs="宋体"/>
                <w:snapToGrid w:val="0"/>
                <w:color w:val="auto"/>
                <w:kern w:val="0"/>
                <w:sz w:val="24"/>
                <w:szCs w:val="24"/>
                <w:lang w:val="en-US" w:eastAsia="en-US" w:bidi="ar-SA"/>
              </w:rPr>
              <w:t>提供</w:t>
            </w:r>
            <w:r>
              <w:rPr>
                <w:rFonts w:hint="eastAsia" w:ascii="宋体" w:hAnsi="宋体" w:eastAsia="宋体" w:cs="宋体"/>
                <w:snapToGrid w:val="0"/>
                <w:color w:val="auto"/>
                <w:kern w:val="0"/>
                <w:sz w:val="24"/>
                <w:szCs w:val="24"/>
                <w:lang w:val="en-US" w:eastAsia="zh-CN" w:bidi="ar-SA"/>
              </w:rPr>
              <w:t>12</w:t>
            </w:r>
            <w:r>
              <w:rPr>
                <w:rFonts w:hint="eastAsia" w:ascii="宋体" w:hAnsi="宋体" w:eastAsia="宋体" w:cs="宋体"/>
                <w:snapToGrid w:val="0"/>
                <w:color w:val="auto"/>
                <w:kern w:val="0"/>
                <w:sz w:val="24"/>
                <w:szCs w:val="24"/>
                <w:lang w:val="en-US" w:eastAsia="en-US" w:bidi="ar-SA"/>
              </w:rPr>
              <w:t>个月的</w:t>
            </w:r>
            <w:r>
              <w:rPr>
                <w:rFonts w:hint="eastAsia" w:ascii="宋体" w:hAnsi="宋体" w:eastAsia="宋体" w:cs="宋体"/>
                <w:snapToGrid w:val="0"/>
                <w:color w:val="auto"/>
                <w:kern w:val="0"/>
                <w:sz w:val="24"/>
                <w:szCs w:val="24"/>
                <w:lang w:val="en-US" w:eastAsia="zh-CN" w:bidi="ar-SA"/>
              </w:rPr>
              <w:t>运行维护期</w:t>
            </w:r>
            <w:r>
              <w:rPr>
                <w:rFonts w:hint="eastAsia" w:ascii="宋体" w:hAnsi="宋体" w:eastAsia="宋体" w:cs="宋体"/>
                <w:snapToGrid w:val="0"/>
                <w:color w:val="auto"/>
                <w:kern w:val="0"/>
                <w:sz w:val="24"/>
                <w:szCs w:val="24"/>
                <w:lang w:val="en-US" w:eastAsia="en-US" w:bidi="ar-SA"/>
              </w:rPr>
              <w:t>。</w:t>
            </w:r>
            <w:r>
              <w:rPr>
                <w:rFonts w:hint="eastAsia" w:ascii="宋体" w:hAnsi="宋体" w:eastAsia="宋体" w:cs="宋体"/>
                <w:snapToGrid w:val="0"/>
                <w:color w:val="auto"/>
                <w:kern w:val="0"/>
                <w:sz w:val="24"/>
                <w:szCs w:val="24"/>
                <w:lang w:val="en-US" w:eastAsia="zh-CN" w:bidi="ar-SA"/>
              </w:rPr>
              <w:t>在维护期内提供</w:t>
            </w:r>
            <w:r>
              <w:rPr>
                <w:rFonts w:hint="eastAsia" w:ascii="宋体" w:hAnsi="宋体" w:eastAsia="宋体" w:cs="宋体"/>
                <w:snapToGrid w:val="0"/>
                <w:color w:val="auto"/>
                <w:kern w:val="0"/>
                <w:sz w:val="24"/>
                <w:szCs w:val="24"/>
                <w:lang w:val="en-US" w:eastAsia="en-US" w:bidi="ar-SA"/>
              </w:rPr>
              <w:t>运营维护、升级更新</w:t>
            </w:r>
            <w:r>
              <w:rPr>
                <w:rFonts w:hint="eastAsia" w:ascii="宋体" w:hAnsi="宋体" w:eastAsia="宋体" w:cs="宋体"/>
                <w:snapToGrid w:val="0"/>
                <w:color w:val="auto"/>
                <w:kern w:val="0"/>
                <w:sz w:val="24"/>
                <w:szCs w:val="24"/>
                <w:lang w:val="en-US" w:eastAsia="zh-CN" w:bidi="ar-SA"/>
              </w:rPr>
              <w:t>服务</w:t>
            </w:r>
            <w:r>
              <w:rPr>
                <w:rFonts w:hint="eastAsia" w:ascii="宋体" w:hAnsi="宋体" w:eastAsia="宋体" w:cs="宋体"/>
                <w:snapToGrid w:val="0"/>
                <w:color w:val="auto"/>
                <w:kern w:val="0"/>
                <w:sz w:val="24"/>
                <w:szCs w:val="24"/>
                <w:lang w:val="en-US" w:eastAsia="en-US" w:bidi="ar-SA"/>
              </w:rPr>
              <w:t>。</w:t>
            </w:r>
          </w:p>
          <w:p w14:paraId="4C9B54D0">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w:t>
            </w:r>
            <w:r>
              <w:rPr>
                <w:rFonts w:hint="eastAsia" w:ascii="宋体" w:hAnsi="宋体" w:eastAsia="宋体" w:cs="宋体"/>
                <w:snapToGrid w:val="0"/>
                <w:color w:val="auto"/>
                <w:kern w:val="0"/>
                <w:sz w:val="24"/>
                <w:szCs w:val="24"/>
                <w:lang w:val="en-US" w:eastAsia="zh-CN" w:bidi="ar-SA"/>
              </w:rPr>
              <w:t>.维修响应时间:运行维护期间提供 7*24 小时的电话故障服务受理，必要时36小时内到达设备使用现场提供现场支援，到达使用现场后一周内解决使用问题或故障。若使用问题、故障在检修后一周内仍无法解决，成交供应商需提供不低于故障货物、服务档次的备用品供采购人使用，直至故障修复。</w:t>
            </w:r>
          </w:p>
          <w:p w14:paraId="32A841BA">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技术服务：自最终验收合格之日起3个日历日内，</w:t>
            </w:r>
            <w:r>
              <w:rPr>
                <w:rFonts w:hint="eastAsia" w:ascii="宋体" w:hAnsi="宋体" w:eastAsia="宋体" w:cs="宋体"/>
                <w:snapToGrid w:val="0"/>
                <w:color w:val="auto"/>
                <w:kern w:val="0"/>
                <w:sz w:val="24"/>
                <w:szCs w:val="24"/>
                <w:lang w:val="en-US" w:eastAsia="zh-CN" w:bidi="ar-SA"/>
              </w:rPr>
              <w:t>成交供应商</w:t>
            </w:r>
            <w:r>
              <w:rPr>
                <w:rFonts w:hint="eastAsia" w:ascii="宋体" w:hAnsi="宋体" w:eastAsia="宋体" w:cs="宋体"/>
                <w:snapToGrid w:val="0"/>
                <w:color w:val="auto"/>
                <w:kern w:val="0"/>
                <w:sz w:val="24"/>
                <w:szCs w:val="24"/>
                <w:lang w:val="en-US" w:eastAsia="en-US" w:bidi="ar-SA"/>
              </w:rPr>
              <w:t>必须将所有相关技术资料（包含并不仅限于：所提供产品的布局图、走线图、使用说明书、合格证、服务手册等）交采购人留存备案。</w:t>
            </w:r>
          </w:p>
          <w:p w14:paraId="6F18468F">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en-US" w:bidi="ar-SA"/>
              </w:rPr>
              <w:t>4</w:t>
            </w:r>
            <w:r>
              <w:rPr>
                <w:rFonts w:hint="eastAsia" w:ascii="宋体" w:hAnsi="宋体" w:eastAsia="宋体" w:cs="宋体"/>
                <w:snapToGrid w:val="0"/>
                <w:color w:val="auto"/>
                <w:kern w:val="0"/>
                <w:sz w:val="24"/>
                <w:szCs w:val="24"/>
                <w:lang w:val="en-US" w:eastAsia="zh-CN" w:bidi="ar-SA"/>
              </w:rPr>
              <w:t>.成交供应商</w:t>
            </w:r>
            <w:r>
              <w:rPr>
                <w:rFonts w:hint="eastAsia" w:ascii="宋体" w:hAnsi="宋体" w:eastAsia="宋体" w:cs="宋体"/>
                <w:snapToGrid w:val="0"/>
                <w:color w:val="auto"/>
                <w:kern w:val="0"/>
                <w:sz w:val="24"/>
                <w:szCs w:val="24"/>
                <w:lang w:val="en-US" w:eastAsia="en-US" w:bidi="ar-SA"/>
              </w:rPr>
              <w:t>必须对其所提供的</w:t>
            </w:r>
            <w:r>
              <w:rPr>
                <w:rFonts w:hint="eastAsia" w:ascii="宋体" w:hAnsi="宋体" w:eastAsia="宋体" w:cs="宋体"/>
                <w:snapToGrid w:val="0"/>
                <w:color w:val="auto"/>
                <w:kern w:val="0"/>
                <w:sz w:val="24"/>
                <w:szCs w:val="24"/>
                <w:lang w:val="en-US" w:eastAsia="zh-CN" w:bidi="ar-SA"/>
              </w:rPr>
              <w:t>服务</w:t>
            </w:r>
            <w:r>
              <w:rPr>
                <w:rFonts w:hint="eastAsia" w:ascii="宋体" w:hAnsi="宋体" w:eastAsia="宋体" w:cs="宋体"/>
                <w:snapToGrid w:val="0"/>
                <w:color w:val="auto"/>
                <w:kern w:val="0"/>
                <w:sz w:val="24"/>
                <w:szCs w:val="24"/>
                <w:lang w:val="en-US" w:eastAsia="en-US" w:bidi="ar-SA"/>
              </w:rPr>
              <w:t>及采用的相关技术进行</w:t>
            </w:r>
            <w:r>
              <w:rPr>
                <w:rFonts w:hint="eastAsia" w:ascii="宋体" w:hAnsi="宋体" w:eastAsia="宋体" w:cs="宋体"/>
                <w:snapToGrid w:val="0"/>
                <w:color w:val="auto"/>
                <w:kern w:val="0"/>
                <w:sz w:val="24"/>
                <w:szCs w:val="24"/>
                <w:lang w:val="en-US" w:eastAsia="zh-CN" w:bidi="ar-SA"/>
              </w:rPr>
              <w:t>不少于2次的线上或线下</w:t>
            </w:r>
            <w:r>
              <w:rPr>
                <w:rFonts w:hint="eastAsia" w:ascii="宋体" w:hAnsi="宋体" w:eastAsia="宋体" w:cs="宋体"/>
                <w:snapToGrid w:val="0"/>
                <w:color w:val="auto"/>
                <w:kern w:val="0"/>
                <w:sz w:val="24"/>
                <w:szCs w:val="24"/>
                <w:lang w:val="en-US" w:eastAsia="en-US" w:bidi="ar-SA"/>
              </w:rPr>
              <w:t>培训，以满足</w:t>
            </w:r>
            <w:r>
              <w:rPr>
                <w:rFonts w:hint="eastAsia" w:ascii="宋体" w:hAnsi="宋体" w:eastAsia="宋体" w:cs="宋体"/>
                <w:snapToGrid w:val="0"/>
                <w:color w:val="auto"/>
                <w:kern w:val="0"/>
                <w:sz w:val="24"/>
                <w:szCs w:val="24"/>
                <w:lang w:val="en-US" w:eastAsia="zh-CN" w:bidi="ar-SA"/>
              </w:rPr>
              <w:t>采购人</w:t>
            </w:r>
            <w:r>
              <w:rPr>
                <w:rFonts w:hint="eastAsia" w:ascii="宋体" w:hAnsi="宋体" w:eastAsia="宋体" w:cs="宋体"/>
                <w:snapToGrid w:val="0"/>
                <w:color w:val="auto"/>
                <w:kern w:val="0"/>
                <w:sz w:val="24"/>
                <w:szCs w:val="24"/>
                <w:lang w:val="en-US" w:eastAsia="en-US" w:bidi="ar-SA"/>
              </w:rPr>
              <w:t>在日常存储、使用、操作等方面的需求。因培训而产生的一切费用均由</w:t>
            </w:r>
            <w:r>
              <w:rPr>
                <w:rFonts w:hint="eastAsia" w:ascii="宋体" w:hAnsi="宋体" w:eastAsia="宋体" w:cs="宋体"/>
                <w:snapToGrid w:val="0"/>
                <w:color w:val="auto"/>
                <w:kern w:val="0"/>
                <w:sz w:val="24"/>
                <w:szCs w:val="24"/>
                <w:lang w:val="en-US" w:eastAsia="zh-CN" w:bidi="ar-SA"/>
              </w:rPr>
              <w:t>成交供应商</w:t>
            </w:r>
            <w:r>
              <w:rPr>
                <w:rFonts w:hint="eastAsia" w:ascii="宋体" w:hAnsi="宋体" w:eastAsia="宋体" w:cs="宋体"/>
                <w:snapToGrid w:val="0"/>
                <w:color w:val="auto"/>
                <w:kern w:val="0"/>
                <w:sz w:val="24"/>
                <w:szCs w:val="24"/>
                <w:lang w:val="en-US" w:eastAsia="en-US" w:bidi="ar-SA"/>
              </w:rPr>
              <w:t>承担。</w:t>
            </w:r>
          </w:p>
        </w:tc>
      </w:tr>
      <w:tr w14:paraId="171F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3D430E48">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50EB838D">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b/>
                <w:bCs/>
                <w:color w:val="000000"/>
                <w:sz w:val="24"/>
                <w:szCs w:val="24"/>
                <w:highlight w:val="none"/>
                <w:lang w:val="en-US" w:eastAsia="zh-CN"/>
              </w:rPr>
              <w:t>信息安全要求</w:t>
            </w:r>
          </w:p>
        </w:tc>
        <w:tc>
          <w:tcPr>
            <w:tcW w:w="3733" w:type="pct"/>
            <w:tcBorders>
              <w:top w:val="single" w:color="auto" w:sz="4" w:space="0"/>
              <w:left w:val="single" w:color="auto" w:sz="4" w:space="0"/>
              <w:bottom w:val="single" w:color="auto" w:sz="4" w:space="0"/>
              <w:right w:val="single" w:color="auto" w:sz="4" w:space="0"/>
            </w:tcBorders>
            <w:noWrap w:val="0"/>
            <w:vAlign w:val="center"/>
          </w:tcPr>
          <w:p w14:paraId="15C32D77">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采购人提供服务器、搭建好运行平台并保证网络正常运行。</w:t>
            </w:r>
          </w:p>
          <w:p w14:paraId="59A6A6F5">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1.系统需要与</w:t>
            </w:r>
            <w:r>
              <w:rPr>
                <w:rFonts w:hint="eastAsia" w:ascii="宋体" w:hAnsi="宋体" w:eastAsia="宋体" w:cs="宋体"/>
                <w:color w:val="auto"/>
                <w:sz w:val="24"/>
                <w:szCs w:val="24"/>
                <w:highlight w:val="none"/>
                <w:lang w:val="en-US" w:eastAsia="zh-CN"/>
              </w:rPr>
              <w:t>采购人课程考核系统、教务系统等要求的相应教学平台做好功能对接、数据</w:t>
            </w:r>
            <w:r>
              <w:rPr>
                <w:rFonts w:hint="eastAsia" w:ascii="宋体" w:hAnsi="宋体" w:eastAsia="宋体" w:cs="宋体"/>
                <w:color w:val="000000"/>
                <w:sz w:val="24"/>
                <w:szCs w:val="24"/>
                <w:lang w:val="en-US" w:eastAsia="zh-CN"/>
              </w:rPr>
              <w:t>对接，信息完全同步。</w:t>
            </w:r>
          </w:p>
          <w:p w14:paraId="455E5FFC">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与采购人智慧校园对接相关要求。软件系统数据满足采购人数据标准要求，并按采购人要求实现与采购人智慧校园平台数据集成、认证对接和企业微信等采购人使用的移动门户平台集成，原则上不允许单独APP部署，所有移动端功能与采购人企业微信进行集成。具体集成需求细节应在项目实施前与采购人网络与信息技术中心讨论形成对接方案，并由采购人现代教育技术中心认可后项目方可实施。项目验收必须由采购人现代教育技术中心进行验证，满足要求后方可进入验收流程。</w:t>
            </w:r>
          </w:p>
          <w:p w14:paraId="7168FDF0">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3.系统与采购人智慧校园完成认证对接后原则上不允许保留单独的登录页面及登录方式。</w:t>
            </w:r>
          </w:p>
          <w:p w14:paraId="518AA5C0">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系统必须按照采购人要求提供系统业务接口并协助第三方系统进行功能集成与深度业务对接工作。如该工作需要进行二次开发，二次开发费用需与采购人协商确定，并提供相关开发工作的实际合同（三份）供采购人参考。应根据采购人的实际应用情况进行个性化适应性二次开发，直至验收合格为止。</w:t>
            </w:r>
          </w:p>
          <w:p w14:paraId="2552F07C">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系统安全性满足国家信息系统安全等级保护相关标准，数据安全满足国家密码等保和《中华人民共和国数据安全法》相关要求。如采购人开展等级保护测评工作，软件厂商须无条件配合采购人完成公安部门要求的信息系统等级保护测评备案，并达到相关网络与数据安全要求。</w:t>
            </w:r>
          </w:p>
          <w:p w14:paraId="31B57F70">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系统上线前成交供应商必须通过由公安与网信部门颁发安全资质的安全机构对系统进行安全扫描和渗透测试并形成评估报告，对发现的安全问题必须进行限期整改，并再次测试通过后才能上线运行，所产生的费用由成交供应商负责。</w:t>
            </w:r>
          </w:p>
          <w:p w14:paraId="22B93758">
            <w:pPr>
              <w:pStyle w:val="2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7.如采购人使用的应用软件版本新发现重大网络安全漏洞，在软件服务期内的，成交供应商须在24小时内进行修补，如超过服务期，</w:t>
            </w:r>
            <w:r>
              <w:rPr>
                <w:rFonts w:hint="eastAsia" w:ascii="宋体" w:hAnsi="宋体" w:eastAsia="宋体" w:cs="宋体"/>
                <w:color w:val="000000"/>
                <w:sz w:val="24"/>
                <w:szCs w:val="24"/>
                <w:highlight w:val="none"/>
                <w:lang w:val="en-US" w:eastAsia="zh-CN"/>
              </w:rPr>
              <w:t>成交供应商</w:t>
            </w:r>
            <w:r>
              <w:rPr>
                <w:rFonts w:hint="eastAsia" w:ascii="宋体" w:hAnsi="宋体" w:eastAsia="宋体" w:cs="宋体"/>
                <w:color w:val="000000"/>
                <w:sz w:val="24"/>
                <w:szCs w:val="24"/>
                <w:lang w:val="en-US" w:eastAsia="zh-CN"/>
              </w:rPr>
              <w:t>则有义务提醒和协助采购人进行修补。</w:t>
            </w:r>
          </w:p>
          <w:p w14:paraId="772DBE5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8.版权：定制软件一般要求开发完成后要协助采购人取得该软件的著作权证书；成品软件须保证采购人在使用过程中不受第三方提出侵犯专利权、商标权、著作权或其它知识产权起诉的指控。</w:t>
            </w:r>
          </w:p>
        </w:tc>
      </w:tr>
      <w:tr w14:paraId="378C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6DC38E2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1D1C22D2">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bCs/>
                <w:sz w:val="24"/>
                <w:szCs w:val="24"/>
              </w:rPr>
              <w:t>知识产权归属和处理方式</w:t>
            </w:r>
          </w:p>
        </w:tc>
        <w:tc>
          <w:tcPr>
            <w:tcW w:w="3733" w:type="pct"/>
            <w:tcBorders>
              <w:top w:val="single" w:color="auto" w:sz="4" w:space="0"/>
              <w:left w:val="single" w:color="auto" w:sz="4" w:space="0"/>
              <w:bottom w:val="single" w:color="auto" w:sz="4" w:space="0"/>
              <w:right w:val="single" w:color="auto" w:sz="4" w:space="0"/>
            </w:tcBorders>
            <w:noWrap w:val="0"/>
            <w:vAlign w:val="top"/>
          </w:tcPr>
          <w:p w14:paraId="63C30DE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t>成交供应商应保证</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在使用本合同</w:t>
            </w:r>
            <w:r>
              <w:rPr>
                <w:rFonts w:hint="eastAsia" w:ascii="宋体" w:hAnsi="宋体" w:eastAsia="宋体" w:cs="宋体"/>
                <w:color w:val="000000"/>
                <w:sz w:val="24"/>
                <w:szCs w:val="24"/>
                <w:highlight w:val="none"/>
                <w:lang w:eastAsia="zh-CN"/>
              </w:rPr>
              <w:t>服务项目</w:t>
            </w:r>
            <w:r>
              <w:rPr>
                <w:rFonts w:hint="eastAsia" w:ascii="宋体" w:hAnsi="宋体" w:eastAsia="宋体" w:cs="宋体"/>
                <w:color w:val="000000"/>
                <w:sz w:val="24"/>
                <w:szCs w:val="24"/>
                <w:highlight w:val="none"/>
              </w:rPr>
              <w:t>或</w:t>
            </w:r>
            <w:r>
              <w:rPr>
                <w:rFonts w:hint="eastAsia" w:ascii="宋体" w:hAnsi="宋体" w:eastAsia="宋体" w:cs="宋体"/>
                <w:color w:val="000000"/>
                <w:sz w:val="24"/>
                <w:szCs w:val="24"/>
              </w:rPr>
              <w:t>其任何一部分时不受第三方提出侵犯专利权、商标权、著作权或其它知识产权起诉的指控。如果任何第三方提出侵权指控，成交供应商须与第三方交涉并承担可能发生的一切法律责任和费用。</w:t>
            </w:r>
          </w:p>
        </w:tc>
      </w:tr>
    </w:tbl>
    <w:p w14:paraId="7C7C7432">
      <w:pPr>
        <w:spacing w:line="440" w:lineRule="exact"/>
        <w:rPr>
          <w:rFonts w:ascii="宋体" w:hAnsi="宋体" w:cs="宋体"/>
          <w:b/>
          <w:bCs/>
          <w:sz w:val="24"/>
          <w:szCs w:val="24"/>
        </w:rPr>
      </w:pPr>
      <w:r>
        <w:rPr>
          <w:rFonts w:hint="eastAsia" w:ascii="宋体" w:hAnsi="宋体" w:cs="宋体"/>
          <w:b/>
          <w:bCs/>
          <w:kern w:val="0"/>
          <w:sz w:val="24"/>
          <w:shd w:val="clear" w:color="auto" w:fill="FFFFFF"/>
        </w:rPr>
        <w:t>注：以上所有技术指标为实质性要求，须全部满足或优于，否则视为无效响应文件</w:t>
      </w:r>
      <w:r>
        <w:rPr>
          <w:rFonts w:hint="eastAsia" w:ascii="宋体" w:hAnsi="宋体" w:cs="宋体"/>
          <w:b/>
          <w:bCs/>
          <w:sz w:val="24"/>
          <w:szCs w:val="24"/>
        </w:rPr>
        <w:t>。</w:t>
      </w:r>
    </w:p>
    <w:p w14:paraId="7EA4407D">
      <w:pPr>
        <w:widowControl/>
        <w:numPr>
          <w:ilvl w:val="0"/>
          <w:numId w:val="0"/>
        </w:numPr>
        <w:spacing w:line="420" w:lineRule="exact"/>
        <w:jc w:val="left"/>
        <w:rPr>
          <w:rFonts w:hint="eastAsia" w:ascii="宋体" w:hAnsi="宋体" w:cs="宋体"/>
          <w:b/>
          <w:bCs/>
          <w:kern w:val="0"/>
          <w:sz w:val="24"/>
          <w:shd w:val="clear" w:color="auto" w:fill="FFFFFF"/>
          <w:lang w:val="en-US" w:eastAsia="zh-CN"/>
        </w:rPr>
      </w:pPr>
    </w:p>
    <w:p w14:paraId="6D232AAE">
      <w:pPr>
        <w:widowControl/>
        <w:numPr>
          <w:ilvl w:val="0"/>
          <w:numId w:val="14"/>
        </w:numPr>
        <w:spacing w:line="420" w:lineRule="exact"/>
        <w:jc w:val="left"/>
        <w:rPr>
          <w:rFonts w:hint="eastAsia" w:ascii="宋体" w:hAnsi="宋体" w:cs="宋体"/>
          <w:b/>
          <w:bCs/>
          <w:kern w:val="0"/>
          <w:sz w:val="24"/>
          <w:shd w:val="clear" w:color="auto" w:fill="FFFFFF"/>
          <w:lang w:val="en-US" w:eastAsia="zh-CN"/>
        </w:rPr>
      </w:pPr>
      <w:r>
        <w:rPr>
          <w:rFonts w:hint="eastAsia" w:ascii="宋体" w:hAnsi="宋体" w:cs="宋体"/>
          <w:b/>
          <w:bCs/>
          <w:kern w:val="0"/>
          <w:sz w:val="24"/>
          <w:shd w:val="clear" w:color="auto" w:fill="FFFFFF"/>
          <w:lang w:val="en-US" w:eastAsia="zh-CN"/>
        </w:rPr>
        <w:t>拟定评分办法</w:t>
      </w:r>
    </w:p>
    <w:p w14:paraId="39624D66">
      <w:pPr>
        <w:tabs>
          <w:tab w:val="left" w:pos="284"/>
          <w:tab w:val="left" w:pos="993"/>
        </w:tabs>
        <w:spacing w:line="460" w:lineRule="exact"/>
        <w:rPr>
          <w:rFonts w:hint="eastAsia" w:ascii="宋体" w:hAnsi="宋体"/>
          <w:b/>
          <w:bCs/>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rPr>
        <w:t>一</w:t>
      </w:r>
      <w:r>
        <w:rPr>
          <w:rFonts w:hint="eastAsia" w:ascii="宋体" w:hAnsi="宋体"/>
          <w:b/>
          <w:bCs/>
          <w:sz w:val="24"/>
          <w:szCs w:val="24"/>
          <w:highlight w:val="none"/>
          <w:lang w:eastAsia="zh-CN"/>
        </w:rPr>
        <w:t>）</w:t>
      </w:r>
      <w:r>
        <w:rPr>
          <w:rFonts w:hint="eastAsia" w:ascii="宋体" w:hAnsi="宋体"/>
          <w:b/>
          <w:bCs/>
          <w:sz w:val="24"/>
          <w:szCs w:val="24"/>
          <w:highlight w:val="none"/>
        </w:rPr>
        <w:t>无效条款</w:t>
      </w:r>
    </w:p>
    <w:p w14:paraId="713F907C">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ascii="宋体" w:hAnsi="宋体"/>
          <w:sz w:val="24"/>
          <w:szCs w:val="24"/>
          <w:highlight w:val="none"/>
        </w:rPr>
      </w:pPr>
      <w:r>
        <w:rPr>
          <w:rFonts w:hint="eastAsia" w:ascii="宋体" w:hAnsi="宋体"/>
          <w:sz w:val="24"/>
          <w:szCs w:val="24"/>
          <w:highlight w:val="none"/>
        </w:rPr>
        <w:t>未提交磋商响应文件；</w:t>
      </w:r>
    </w:p>
    <w:p w14:paraId="06E365B4">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ascii="宋体" w:hAnsi="宋体"/>
          <w:sz w:val="24"/>
          <w:szCs w:val="24"/>
          <w:highlight w:val="none"/>
        </w:rPr>
      </w:pPr>
      <w:r>
        <w:rPr>
          <w:rFonts w:hint="eastAsia" w:ascii="宋体" w:hAnsi="宋体"/>
          <w:sz w:val="24"/>
          <w:szCs w:val="24"/>
          <w:highlight w:val="none"/>
        </w:rPr>
        <w:t>未提交报价一览表；</w:t>
      </w:r>
    </w:p>
    <w:p w14:paraId="54F9A303">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hint="eastAsia" w:ascii="宋体" w:hAnsi="宋体"/>
          <w:sz w:val="24"/>
          <w:szCs w:val="24"/>
          <w:highlight w:val="none"/>
        </w:rPr>
      </w:pPr>
      <w:r>
        <w:rPr>
          <w:rFonts w:hint="eastAsia" w:ascii="宋体" w:hAnsi="宋体"/>
          <w:sz w:val="24"/>
          <w:szCs w:val="24"/>
          <w:highlight w:val="none"/>
        </w:rPr>
        <w:t>未按照磋商文件要求提交磋商保证金；</w:t>
      </w:r>
    </w:p>
    <w:p w14:paraId="7A6C0732">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ascii="宋体" w:hAnsi="宋体"/>
          <w:sz w:val="24"/>
          <w:szCs w:val="24"/>
          <w:highlight w:val="none"/>
        </w:rPr>
      </w:pPr>
      <w:r>
        <w:rPr>
          <w:rFonts w:hint="eastAsia" w:ascii="宋体" w:hAnsi="宋体"/>
          <w:sz w:val="24"/>
          <w:szCs w:val="24"/>
          <w:highlight w:val="none"/>
        </w:rPr>
        <w:t>未在响应文件中提供提交磋商保证金的证明材料；</w:t>
      </w:r>
    </w:p>
    <w:p w14:paraId="4FDCEE20">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hint="eastAsia" w:ascii="宋体" w:hAnsi="宋体"/>
          <w:sz w:val="24"/>
          <w:szCs w:val="24"/>
          <w:highlight w:val="none"/>
        </w:rPr>
      </w:pPr>
      <w:r>
        <w:rPr>
          <w:rFonts w:hint="eastAsia" w:ascii="宋体" w:hAnsi="宋体"/>
          <w:sz w:val="24"/>
          <w:szCs w:val="24"/>
          <w:highlight w:val="none"/>
        </w:rPr>
        <w:t>未按磋商文件要求提供资格证明文件；</w:t>
      </w:r>
    </w:p>
    <w:p w14:paraId="596B25B5">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hint="eastAsia" w:ascii="宋体" w:hAnsi="宋体"/>
          <w:sz w:val="24"/>
          <w:szCs w:val="24"/>
          <w:highlight w:val="none"/>
        </w:rPr>
      </w:pPr>
      <w:r>
        <w:rPr>
          <w:rFonts w:hint="eastAsia" w:ascii="宋体" w:hAnsi="宋体"/>
          <w:sz w:val="24"/>
          <w:szCs w:val="24"/>
          <w:highlight w:val="none"/>
        </w:rPr>
        <w:t>非法定代表人本人参与磋商，未提交有效的法定代表人授权书；</w:t>
      </w:r>
    </w:p>
    <w:p w14:paraId="7318F39A">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hint="eastAsia" w:ascii="宋体" w:hAnsi="宋体"/>
          <w:sz w:val="24"/>
          <w:szCs w:val="24"/>
          <w:highlight w:val="none"/>
        </w:rPr>
      </w:pPr>
      <w:r>
        <w:rPr>
          <w:rFonts w:hint="eastAsia" w:ascii="宋体" w:hAnsi="宋体"/>
          <w:sz w:val="24"/>
          <w:szCs w:val="24"/>
          <w:highlight w:val="none"/>
        </w:rPr>
        <w:t>磋商有效期响应不足；</w:t>
      </w:r>
    </w:p>
    <w:p w14:paraId="645D64A0">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hint="eastAsia" w:ascii="宋体" w:hAnsi="宋体"/>
          <w:sz w:val="24"/>
          <w:szCs w:val="24"/>
          <w:highlight w:val="none"/>
        </w:rPr>
      </w:pPr>
      <w:r>
        <w:rPr>
          <w:rFonts w:hint="eastAsia" w:ascii="宋体" w:hAnsi="宋体"/>
          <w:sz w:val="24"/>
          <w:szCs w:val="24"/>
          <w:highlight w:val="none"/>
        </w:rPr>
        <w:t>有磋商文件当中已列明的其他导致无效响应的因素；</w:t>
      </w:r>
    </w:p>
    <w:p w14:paraId="1DFD3C4D">
      <w:pPr>
        <w:keepNext w:val="0"/>
        <w:keepLines w:val="0"/>
        <w:pageBreakBefore w:val="0"/>
        <w:widowControl w:val="0"/>
        <w:numPr>
          <w:ilvl w:val="0"/>
          <w:numId w:val="15"/>
        </w:numPr>
        <w:tabs>
          <w:tab w:val="left" w:pos="284"/>
          <w:tab w:val="left" w:pos="993"/>
        </w:tabs>
        <w:kinsoku/>
        <w:wordWrap/>
        <w:overflowPunct/>
        <w:topLinePunct w:val="0"/>
        <w:autoSpaceDE/>
        <w:autoSpaceDN/>
        <w:bidi w:val="0"/>
        <w:adjustRightInd/>
        <w:snapToGrid/>
        <w:spacing w:line="460" w:lineRule="exact"/>
        <w:ind w:left="357" w:leftChars="0" w:hanging="357" w:hangingChars="150"/>
        <w:jc w:val="left"/>
        <w:textAlignment w:val="auto"/>
        <w:rPr>
          <w:rFonts w:hint="eastAsia" w:ascii="宋体" w:hAnsi="宋体"/>
          <w:sz w:val="24"/>
          <w:szCs w:val="24"/>
          <w:highlight w:val="none"/>
        </w:rPr>
      </w:pPr>
      <w:r>
        <w:rPr>
          <w:rFonts w:hint="eastAsia" w:ascii="宋体" w:hAnsi="宋体"/>
          <w:sz w:val="24"/>
          <w:szCs w:val="24"/>
          <w:highlight w:val="none"/>
        </w:rPr>
        <w:t>发现供应商以他人名义参加磋商或相互之间串通，或者以其他弄虚作假方式参加磋商的。</w:t>
      </w:r>
    </w:p>
    <w:p w14:paraId="75C39D96">
      <w:pPr>
        <w:tabs>
          <w:tab w:val="left" w:pos="284"/>
          <w:tab w:val="left" w:pos="993"/>
        </w:tabs>
        <w:spacing w:line="460" w:lineRule="exact"/>
        <w:rPr>
          <w:rFonts w:ascii="宋体" w:hAnsi="宋体" w:cs="宋体"/>
          <w:b/>
          <w:bCs/>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二</w:t>
      </w:r>
      <w:r>
        <w:rPr>
          <w:rFonts w:hint="eastAsia" w:ascii="宋体" w:hAnsi="宋体"/>
          <w:b/>
          <w:bCs/>
          <w:sz w:val="24"/>
          <w:szCs w:val="24"/>
          <w:highlight w:val="none"/>
          <w:lang w:eastAsia="zh-CN"/>
        </w:rPr>
        <w:t>）</w:t>
      </w:r>
      <w:r>
        <w:rPr>
          <w:rFonts w:hint="eastAsia" w:ascii="宋体" w:hAnsi="宋体" w:cs="宋体"/>
          <w:b/>
          <w:bCs/>
          <w:sz w:val="24"/>
          <w:szCs w:val="24"/>
          <w:highlight w:val="none"/>
        </w:rPr>
        <w:t>资格性、符合性审查</w:t>
      </w:r>
    </w:p>
    <w:tbl>
      <w:tblPr>
        <w:tblStyle w:val="23"/>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5"/>
        <w:gridCol w:w="8494"/>
      </w:tblGrid>
      <w:tr w14:paraId="4E41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33" w:type="pct"/>
            <w:noWrap w:val="0"/>
            <w:tcMar>
              <w:top w:w="15" w:type="dxa"/>
              <w:left w:w="15" w:type="dxa"/>
              <w:right w:w="15" w:type="dxa"/>
            </w:tcMar>
            <w:vAlign w:val="center"/>
          </w:tcPr>
          <w:p w14:paraId="5E450C0A">
            <w:pPr>
              <w:widowControl/>
              <w:spacing w:line="460" w:lineRule="exact"/>
              <w:jc w:val="center"/>
              <w:textAlignment w:val="center"/>
              <w:rPr>
                <w:rFonts w:hint="eastAsia" w:ascii="宋体" w:hAnsi="宋体" w:eastAsia="宋体" w:cs="宋体"/>
                <w:b/>
                <w:bCs/>
                <w:color w:val="000000"/>
                <w:sz w:val="24"/>
                <w:szCs w:val="24"/>
              </w:rPr>
            </w:pPr>
            <w:bookmarkStart w:id="19" w:name="_Hlk99384377"/>
            <w:r>
              <w:rPr>
                <w:rFonts w:hint="eastAsia" w:ascii="宋体" w:hAnsi="宋体" w:eastAsia="宋体" w:cs="宋体"/>
                <w:b/>
                <w:bCs/>
                <w:color w:val="000000"/>
                <w:sz w:val="24"/>
                <w:szCs w:val="24"/>
              </w:rPr>
              <w:t>序号</w:t>
            </w:r>
          </w:p>
        </w:tc>
        <w:tc>
          <w:tcPr>
            <w:tcW w:w="4566" w:type="pct"/>
            <w:noWrap w:val="0"/>
            <w:tcMar>
              <w:top w:w="15" w:type="dxa"/>
              <w:left w:w="15" w:type="dxa"/>
              <w:right w:w="15" w:type="dxa"/>
            </w:tcMar>
            <w:vAlign w:val="center"/>
          </w:tcPr>
          <w:p w14:paraId="7EA2DCA5">
            <w:pPr>
              <w:widowControl/>
              <w:spacing w:line="46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审查内容及依据</w:t>
            </w:r>
          </w:p>
        </w:tc>
      </w:tr>
      <w:tr w14:paraId="7A3E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noWrap w:val="0"/>
            <w:tcMar>
              <w:top w:w="15" w:type="dxa"/>
              <w:left w:w="15" w:type="dxa"/>
              <w:right w:w="15" w:type="dxa"/>
            </w:tcMar>
            <w:vAlign w:val="center"/>
          </w:tcPr>
          <w:p w14:paraId="5B19ACBD">
            <w:pPr>
              <w:spacing w:line="460" w:lineRule="exact"/>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（一）资格性审查</w:t>
            </w:r>
          </w:p>
        </w:tc>
      </w:tr>
      <w:tr w14:paraId="3787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33" w:type="pct"/>
            <w:noWrap w:val="0"/>
            <w:tcMar>
              <w:top w:w="15" w:type="dxa"/>
              <w:left w:w="15" w:type="dxa"/>
              <w:right w:w="15" w:type="dxa"/>
            </w:tcMar>
            <w:vAlign w:val="center"/>
          </w:tcPr>
          <w:p w14:paraId="58DEAC90">
            <w:pPr>
              <w:spacing w:line="4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4566" w:type="pct"/>
            <w:noWrap w:val="0"/>
            <w:tcMar>
              <w:top w:w="15" w:type="dxa"/>
              <w:left w:w="15" w:type="dxa"/>
              <w:right w:w="15" w:type="dxa"/>
            </w:tcMar>
            <w:vAlign w:val="center"/>
          </w:tcPr>
          <w:p w14:paraId="44A6FB6D">
            <w:pPr>
              <w:keepNext w:val="0"/>
              <w:keepLines w:val="0"/>
              <w:pageBreakBefore w:val="0"/>
              <w:widowControl/>
              <w:kinsoku/>
              <w:wordWrap/>
              <w:overflowPunct/>
              <w:topLinePunct w:val="0"/>
              <w:bidi w:val="0"/>
              <w:spacing w:line="460" w:lineRule="exact"/>
              <w:jc w:val="left"/>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1.满足</w:t>
            </w:r>
            <w:r>
              <w:rPr>
                <w:rFonts w:hint="eastAsia" w:ascii="宋体" w:hAnsi="宋体" w:eastAsia="宋体" w:cs="宋体"/>
                <w:color w:val="333333"/>
                <w:kern w:val="0"/>
                <w:sz w:val="24"/>
                <w:szCs w:val="24"/>
                <w:highlight w:val="none"/>
                <w:shd w:val="clear" w:color="auto" w:fill="FFFFFF"/>
                <w:lang w:eastAsia="zh-CN"/>
              </w:rPr>
              <w:t>以下</w:t>
            </w:r>
            <w:r>
              <w:rPr>
                <w:rFonts w:hint="eastAsia" w:ascii="宋体" w:hAnsi="宋体" w:eastAsia="宋体" w:cs="宋体"/>
                <w:color w:val="333333"/>
                <w:kern w:val="0"/>
                <w:sz w:val="24"/>
                <w:szCs w:val="24"/>
                <w:highlight w:val="none"/>
                <w:shd w:val="clear" w:color="auto" w:fill="FFFFFF"/>
              </w:rPr>
              <w:t>规定：</w:t>
            </w:r>
          </w:p>
          <w:p w14:paraId="64BBD45E">
            <w:pPr>
              <w:keepNext w:val="0"/>
              <w:keepLines w:val="0"/>
              <w:pageBreakBefore w:val="0"/>
              <w:widowControl/>
              <w:kinsoku/>
              <w:wordWrap/>
              <w:overflowPunct/>
              <w:topLinePunct w:val="0"/>
              <w:bidi w:val="0"/>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（1）具有独立承担民事责任的能力；</w:t>
            </w:r>
          </w:p>
          <w:p w14:paraId="50A4A3D7">
            <w:pPr>
              <w:keepNext w:val="0"/>
              <w:keepLines w:val="0"/>
              <w:pageBreakBefore w:val="0"/>
              <w:widowControl/>
              <w:kinsoku/>
              <w:wordWrap/>
              <w:overflowPunct/>
              <w:topLinePunct w:val="0"/>
              <w:bidi w:val="0"/>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（2）具有良好的商业信誉和健全的财务会计制度；</w:t>
            </w:r>
          </w:p>
          <w:p w14:paraId="5A3FA8D1">
            <w:pPr>
              <w:keepNext w:val="0"/>
              <w:keepLines w:val="0"/>
              <w:pageBreakBefore w:val="0"/>
              <w:widowControl/>
              <w:kinsoku/>
              <w:wordWrap/>
              <w:overflowPunct/>
              <w:topLinePunct w:val="0"/>
              <w:bidi w:val="0"/>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（3）具有履行合同所必需的设备和专业技术能力；</w:t>
            </w:r>
          </w:p>
          <w:p w14:paraId="03EB4C26">
            <w:pPr>
              <w:keepNext w:val="0"/>
              <w:keepLines w:val="0"/>
              <w:pageBreakBefore w:val="0"/>
              <w:widowControl/>
              <w:kinsoku/>
              <w:wordWrap/>
              <w:overflowPunct/>
              <w:topLinePunct w:val="0"/>
              <w:bidi w:val="0"/>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（4）有依法缴纳税收和社会保障资金的良好记录；</w:t>
            </w:r>
          </w:p>
          <w:p w14:paraId="44949EC4">
            <w:pPr>
              <w:keepNext w:val="0"/>
              <w:keepLines w:val="0"/>
              <w:pageBreakBefore w:val="0"/>
              <w:widowControl/>
              <w:kinsoku/>
              <w:wordWrap/>
              <w:overflowPunct/>
              <w:topLinePunct w:val="0"/>
              <w:bidi w:val="0"/>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（5）</w:t>
            </w:r>
            <w:r>
              <w:rPr>
                <w:rFonts w:hint="eastAsia" w:ascii="宋体" w:hAnsi="宋体" w:eastAsia="宋体" w:cs="宋体"/>
                <w:color w:val="000000"/>
                <w:kern w:val="0"/>
                <w:sz w:val="24"/>
                <w:szCs w:val="24"/>
                <w:highlight w:val="none"/>
                <w:shd w:val="clear" w:color="auto" w:fill="FFFFFF"/>
                <w:lang w:eastAsia="zh-CN"/>
              </w:rPr>
              <w:t>参加本次采购活动前三年内,</w:t>
            </w:r>
            <w:r>
              <w:rPr>
                <w:rFonts w:hint="eastAsia" w:ascii="宋体" w:hAnsi="宋体" w:eastAsia="宋体" w:cs="宋体"/>
                <w:color w:val="000000"/>
                <w:kern w:val="0"/>
                <w:sz w:val="24"/>
                <w:szCs w:val="24"/>
                <w:highlight w:val="none"/>
                <w:shd w:val="clear" w:color="auto" w:fill="FFFFFF"/>
              </w:rPr>
              <w:t>在经营活动中没有重大违法记录；</w:t>
            </w:r>
          </w:p>
          <w:p w14:paraId="39CBC6CE">
            <w:pPr>
              <w:keepNext w:val="0"/>
              <w:keepLines w:val="0"/>
              <w:pageBreakBefore w:val="0"/>
              <w:widowControl/>
              <w:kinsoku/>
              <w:wordWrap/>
              <w:overflowPunct/>
              <w:topLinePunct w:val="0"/>
              <w:bidi w:val="0"/>
              <w:spacing w:line="460" w:lineRule="exact"/>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（6）法律、行政法规规定的其他条件。</w:t>
            </w:r>
          </w:p>
          <w:p w14:paraId="3929058A">
            <w:pPr>
              <w:tabs>
                <w:tab w:val="left" w:pos="5329"/>
              </w:tabs>
              <w:spacing w:line="460" w:lineRule="exact"/>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kern w:val="0"/>
                <w:sz w:val="24"/>
                <w:szCs w:val="24"/>
                <w:highlight w:val="none"/>
                <w:shd w:val="clear" w:color="auto" w:fill="FFFFFF"/>
              </w:rPr>
              <w:t>2.单位负责人为同</w:t>
            </w:r>
            <w:r>
              <w:rPr>
                <w:rFonts w:hint="eastAsia" w:ascii="宋体" w:hAnsi="宋体" w:eastAsia="宋体" w:cs="宋体"/>
                <w:color w:val="auto"/>
                <w:kern w:val="0"/>
                <w:sz w:val="24"/>
                <w:szCs w:val="24"/>
                <w:highlight w:val="none"/>
                <w:shd w:val="clear" w:color="auto" w:fill="FFFFFF"/>
              </w:rPr>
              <w:t>一人或者存在直接控股、管理关系的不同</w:t>
            </w:r>
            <w:r>
              <w:rPr>
                <w:rFonts w:hint="eastAsia" w:ascii="宋体" w:hAnsi="宋体" w:eastAsia="宋体" w:cs="宋体"/>
                <w:color w:val="auto"/>
                <w:kern w:val="0"/>
                <w:sz w:val="24"/>
                <w:szCs w:val="24"/>
                <w:highlight w:val="none"/>
                <w:shd w:val="clear" w:color="auto" w:fill="FFFFFF"/>
                <w:lang w:eastAsia="zh-CN"/>
              </w:rPr>
              <w:t>供应商</w:t>
            </w:r>
            <w:r>
              <w:rPr>
                <w:rFonts w:hint="eastAsia" w:ascii="宋体" w:hAnsi="宋体" w:eastAsia="宋体" w:cs="宋体"/>
                <w:color w:val="auto"/>
                <w:kern w:val="0"/>
                <w:sz w:val="24"/>
                <w:szCs w:val="24"/>
                <w:highlight w:val="none"/>
                <w:shd w:val="clear" w:color="auto" w:fill="FFFFFF"/>
              </w:rPr>
              <w:t>，不得参加同一合同项下的</w:t>
            </w:r>
            <w:r>
              <w:rPr>
                <w:rFonts w:hint="eastAsia" w:ascii="宋体" w:hAnsi="宋体" w:eastAsia="宋体" w:cs="宋体"/>
                <w:color w:val="auto"/>
                <w:kern w:val="0"/>
                <w:sz w:val="24"/>
                <w:szCs w:val="24"/>
                <w:highlight w:val="none"/>
                <w:shd w:val="clear" w:color="auto" w:fill="FFFFFF"/>
                <w:lang w:val="en-US" w:eastAsia="zh-CN"/>
              </w:rPr>
              <w:t>采购</w:t>
            </w:r>
            <w:r>
              <w:rPr>
                <w:rFonts w:hint="eastAsia" w:ascii="宋体" w:hAnsi="宋体" w:eastAsia="宋体" w:cs="宋体"/>
                <w:color w:val="auto"/>
                <w:kern w:val="0"/>
                <w:sz w:val="24"/>
                <w:szCs w:val="24"/>
                <w:highlight w:val="none"/>
                <w:shd w:val="clear" w:color="auto" w:fill="FFFFFF"/>
                <w:lang w:eastAsia="zh-CN"/>
              </w:rPr>
              <w:t>活动</w:t>
            </w:r>
            <w:r>
              <w:rPr>
                <w:rFonts w:hint="eastAsia" w:ascii="宋体" w:hAnsi="宋体" w:eastAsia="宋体" w:cs="宋体"/>
                <w:color w:val="auto"/>
                <w:kern w:val="0"/>
                <w:sz w:val="24"/>
                <w:szCs w:val="24"/>
                <w:highlight w:val="none"/>
                <w:shd w:val="clear" w:color="auto" w:fill="FFFFFF"/>
              </w:rPr>
              <w:t>。为本项目提供整体设计、规范编制或者项目管理、监理、检测等服务的</w:t>
            </w:r>
            <w:r>
              <w:rPr>
                <w:rFonts w:hint="eastAsia" w:ascii="宋体" w:hAnsi="宋体" w:eastAsia="宋体" w:cs="宋体"/>
                <w:color w:val="auto"/>
                <w:kern w:val="0"/>
                <w:sz w:val="24"/>
                <w:szCs w:val="24"/>
                <w:highlight w:val="none"/>
                <w:shd w:val="clear" w:color="auto" w:fill="FFFFFF"/>
                <w:lang w:eastAsia="zh-CN"/>
              </w:rPr>
              <w:t>供应商</w:t>
            </w:r>
            <w:r>
              <w:rPr>
                <w:rFonts w:hint="eastAsia" w:ascii="宋体" w:hAnsi="宋体" w:eastAsia="宋体" w:cs="宋体"/>
                <w:color w:val="auto"/>
                <w:kern w:val="0"/>
                <w:sz w:val="24"/>
                <w:szCs w:val="24"/>
                <w:highlight w:val="none"/>
                <w:shd w:val="clear" w:color="auto" w:fill="FFFFFF"/>
              </w:rPr>
              <w:t>不得参加本项目的采购活动。</w:t>
            </w:r>
          </w:p>
          <w:p w14:paraId="7BFF55F6">
            <w:pPr>
              <w:tabs>
                <w:tab w:val="left" w:pos="5329"/>
              </w:tabs>
              <w:spacing w:line="460" w:lineRule="exact"/>
              <w:jc w:val="left"/>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eastAsia="zh-CN"/>
              </w:rPr>
              <w:t>【</w:t>
            </w:r>
            <w:r>
              <w:rPr>
                <w:rFonts w:hint="eastAsia" w:ascii="宋体" w:hAnsi="宋体" w:eastAsia="宋体" w:cs="宋体"/>
                <w:b/>
                <w:bCs/>
                <w:color w:val="auto"/>
                <w:kern w:val="0"/>
                <w:sz w:val="24"/>
                <w:szCs w:val="24"/>
                <w:highlight w:val="none"/>
                <w:shd w:val="clear" w:color="auto" w:fill="FFFFFF"/>
                <w:lang w:val="en-US" w:eastAsia="zh-CN"/>
              </w:rPr>
              <w:t>以上1～2项</w:t>
            </w:r>
            <w:r>
              <w:rPr>
                <w:rFonts w:hint="eastAsia" w:ascii="宋体" w:hAnsi="宋体" w:eastAsia="宋体" w:cs="宋体"/>
                <w:b/>
                <w:bCs/>
                <w:color w:val="auto"/>
                <w:kern w:val="0"/>
                <w:sz w:val="24"/>
                <w:szCs w:val="24"/>
                <w:highlight w:val="none"/>
                <w:shd w:val="clear" w:color="auto" w:fill="FFFFFF"/>
              </w:rPr>
              <w:t>提供《资格信用承诺函》或提供</w:t>
            </w:r>
            <w:r>
              <w:rPr>
                <w:rFonts w:hint="eastAsia" w:ascii="宋体" w:hAnsi="宋体" w:eastAsia="宋体" w:cs="宋体"/>
                <w:b/>
                <w:bCs/>
                <w:color w:val="auto"/>
                <w:kern w:val="0"/>
                <w:sz w:val="24"/>
                <w:szCs w:val="24"/>
                <w:highlight w:val="none"/>
                <w:shd w:val="clear" w:color="auto" w:fill="FFFFFF"/>
                <w:lang w:val="en-US" w:eastAsia="zh-CN"/>
              </w:rPr>
              <w:t>磋商</w:t>
            </w:r>
            <w:r>
              <w:rPr>
                <w:rFonts w:hint="eastAsia" w:ascii="宋体" w:hAnsi="宋体" w:eastAsia="宋体" w:cs="宋体"/>
                <w:b/>
                <w:bCs/>
                <w:color w:val="auto"/>
                <w:kern w:val="0"/>
                <w:sz w:val="24"/>
                <w:szCs w:val="24"/>
                <w:highlight w:val="none"/>
                <w:shd w:val="clear" w:color="auto" w:fill="FFFFFF"/>
              </w:rPr>
              <w:t>文件要求提供对应事项证明材料（未提供承诺函又未按照</w:t>
            </w:r>
            <w:r>
              <w:rPr>
                <w:rFonts w:hint="eastAsia" w:ascii="宋体" w:hAnsi="宋体" w:eastAsia="宋体" w:cs="宋体"/>
                <w:b/>
                <w:bCs/>
                <w:color w:val="auto"/>
                <w:kern w:val="0"/>
                <w:sz w:val="24"/>
                <w:szCs w:val="24"/>
                <w:highlight w:val="none"/>
                <w:shd w:val="clear" w:color="auto" w:fill="FFFFFF"/>
                <w:lang w:val="en-US" w:eastAsia="zh-CN"/>
              </w:rPr>
              <w:t>磋商</w:t>
            </w:r>
            <w:r>
              <w:rPr>
                <w:rFonts w:hint="eastAsia" w:ascii="宋体" w:hAnsi="宋体" w:eastAsia="宋体" w:cs="宋体"/>
                <w:b/>
                <w:bCs/>
                <w:color w:val="auto"/>
                <w:kern w:val="0"/>
                <w:sz w:val="24"/>
                <w:szCs w:val="24"/>
                <w:highlight w:val="none"/>
                <w:shd w:val="clear" w:color="auto" w:fill="FFFFFF"/>
              </w:rPr>
              <w:t>文件要求提供对应事项证明材料的，按无效</w:t>
            </w:r>
            <w:r>
              <w:rPr>
                <w:rFonts w:hint="eastAsia" w:ascii="宋体" w:hAnsi="宋体" w:eastAsia="宋体" w:cs="宋体"/>
                <w:b/>
                <w:bCs/>
                <w:color w:val="auto"/>
                <w:kern w:val="0"/>
                <w:sz w:val="24"/>
                <w:szCs w:val="24"/>
                <w:highlight w:val="none"/>
                <w:shd w:val="clear" w:color="auto" w:fill="FFFFFF"/>
                <w:lang w:val="en-US" w:eastAsia="zh-CN"/>
              </w:rPr>
              <w:t>响应</w:t>
            </w:r>
            <w:r>
              <w:rPr>
                <w:rFonts w:hint="eastAsia" w:ascii="宋体" w:hAnsi="宋体" w:eastAsia="宋体" w:cs="宋体"/>
                <w:b/>
                <w:bCs/>
                <w:color w:val="auto"/>
                <w:kern w:val="0"/>
                <w:sz w:val="24"/>
                <w:szCs w:val="24"/>
                <w:highlight w:val="none"/>
                <w:shd w:val="clear" w:color="auto" w:fill="FFFFFF"/>
              </w:rPr>
              <w:t>处理）</w:t>
            </w:r>
            <w:r>
              <w:rPr>
                <w:rFonts w:hint="eastAsia" w:ascii="宋体" w:hAnsi="宋体" w:eastAsia="宋体" w:cs="宋体"/>
                <w:b/>
                <w:bCs/>
                <w:color w:val="auto"/>
                <w:kern w:val="0"/>
                <w:sz w:val="24"/>
                <w:szCs w:val="24"/>
                <w:highlight w:val="none"/>
                <w:shd w:val="clear" w:color="auto" w:fill="FFFFFF"/>
                <w:lang w:eastAsia="zh-CN"/>
              </w:rPr>
              <w:t>】</w:t>
            </w:r>
          </w:p>
          <w:p w14:paraId="27C764B0">
            <w:pPr>
              <w:spacing w:line="460" w:lineRule="exact"/>
              <w:jc w:val="both"/>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提供信用承诺函的，采购人有权在确定</w:t>
            </w:r>
            <w:r>
              <w:rPr>
                <w:rFonts w:hint="eastAsia" w:ascii="宋体" w:hAnsi="宋体" w:eastAsia="宋体" w:cs="宋体"/>
                <w:b/>
                <w:bCs/>
                <w:sz w:val="24"/>
                <w:szCs w:val="24"/>
                <w:lang w:val="en-US" w:eastAsia="zh-CN"/>
              </w:rPr>
              <w:t>成交</w:t>
            </w:r>
            <w:r>
              <w:rPr>
                <w:rFonts w:hint="eastAsia" w:ascii="宋体" w:hAnsi="宋体" w:eastAsia="宋体" w:cs="宋体"/>
                <w:b/>
                <w:bCs/>
                <w:sz w:val="24"/>
                <w:szCs w:val="24"/>
              </w:rPr>
              <w:t>结果后、签订采购合同前，核实</w:t>
            </w:r>
            <w:r>
              <w:rPr>
                <w:rFonts w:hint="eastAsia" w:ascii="宋体" w:hAnsi="宋体" w:eastAsia="宋体" w:cs="宋体"/>
                <w:b/>
                <w:bCs/>
                <w:sz w:val="24"/>
                <w:szCs w:val="24"/>
                <w:lang w:val="en-US" w:eastAsia="zh-CN"/>
              </w:rPr>
              <w:t>成交供应商</w:t>
            </w:r>
            <w:r>
              <w:rPr>
                <w:rFonts w:hint="eastAsia" w:ascii="宋体" w:hAnsi="宋体" w:eastAsia="宋体" w:cs="宋体"/>
                <w:b/>
                <w:bCs/>
                <w:sz w:val="24"/>
                <w:szCs w:val="24"/>
              </w:rPr>
              <w:t>所作信用承诺事项的真实性，</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应对提供虚假承诺行为承担相应的法律责任。</w:t>
            </w:r>
          </w:p>
        </w:tc>
      </w:tr>
      <w:tr w14:paraId="4BA1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33" w:type="pct"/>
            <w:noWrap w:val="0"/>
            <w:tcMar>
              <w:top w:w="15" w:type="dxa"/>
              <w:left w:w="15" w:type="dxa"/>
              <w:right w:w="15" w:type="dxa"/>
            </w:tcMar>
            <w:vAlign w:val="center"/>
          </w:tcPr>
          <w:p w14:paraId="133D666E">
            <w:pPr>
              <w:spacing w:line="46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p>
        </w:tc>
        <w:tc>
          <w:tcPr>
            <w:tcW w:w="4566" w:type="pct"/>
            <w:noWrap w:val="0"/>
            <w:tcMar>
              <w:top w:w="15" w:type="dxa"/>
              <w:left w:w="15" w:type="dxa"/>
              <w:right w:w="15" w:type="dxa"/>
            </w:tcMar>
            <w:vAlign w:val="center"/>
          </w:tcPr>
          <w:p w14:paraId="250D8F40">
            <w:pPr>
              <w:widowControl w:val="0"/>
              <w:spacing w:line="460" w:lineRule="exact"/>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kern w:val="0"/>
                <w:sz w:val="24"/>
                <w:szCs w:val="24"/>
                <w:highlight w:val="none"/>
                <w:shd w:val="clear" w:color="auto" w:fill="FFFFFF"/>
                <w:lang w:val="en-US" w:eastAsia="zh-CN" w:bidi="ar-SA"/>
              </w:rPr>
              <w:t>供应商被“信用中国”网站列入失信被执行人和重大税收违法案件当事人名单的、被“中国政府采购网”网站列入政府采购严重违法失信行为记录名单（处罚期限尚未届满的），不得参加本项目的采购活动</w:t>
            </w:r>
            <w:r>
              <w:rPr>
                <w:rFonts w:hint="eastAsia" w:ascii="宋体" w:hAnsi="宋体" w:eastAsia="宋体" w:cs="宋体"/>
                <w:color w:val="auto"/>
                <w:kern w:val="0"/>
                <w:sz w:val="24"/>
                <w:szCs w:val="24"/>
                <w:lang w:val="en-US" w:eastAsia="zh-CN" w:bidi="ar-SA"/>
              </w:rPr>
              <w:t>；</w:t>
            </w:r>
            <w:r>
              <w:rPr>
                <w:rFonts w:hint="eastAsia" w:ascii="宋体" w:hAnsi="宋体" w:eastAsia="宋体" w:cs="宋体"/>
                <w:b/>
                <w:bCs/>
                <w:color w:val="auto"/>
                <w:kern w:val="0"/>
                <w:sz w:val="24"/>
                <w:szCs w:val="24"/>
                <w:lang w:val="en-US" w:eastAsia="zh-CN" w:bidi="ar"/>
              </w:rPr>
              <w:t>【采购人或者采购代理机构在资格审查结束前，对供应商进行信用查询。供应商无需提供信用查询截图，以采购人或采购代理机构查询结果为准，具体详见《供应商须知前附表》】</w:t>
            </w:r>
          </w:p>
        </w:tc>
      </w:tr>
      <w:tr w14:paraId="4594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noWrap w:val="0"/>
            <w:tcMar>
              <w:top w:w="15" w:type="dxa"/>
              <w:left w:w="15" w:type="dxa"/>
              <w:right w:w="15" w:type="dxa"/>
            </w:tcMar>
            <w:vAlign w:val="center"/>
          </w:tcPr>
          <w:p w14:paraId="18C17603">
            <w:pPr>
              <w:spacing w:line="460" w:lineRule="exact"/>
              <w:jc w:val="center"/>
              <w:rPr>
                <w:rFonts w:hint="eastAsia" w:ascii="宋体" w:hAnsi="宋体" w:eastAsia="宋体" w:cs="宋体"/>
                <w:b/>
                <w:bCs/>
                <w:i w:val="0"/>
                <w:iCs w:val="0"/>
                <w:color w:val="auto"/>
                <w:kern w:val="0"/>
                <w:sz w:val="24"/>
                <w:szCs w:val="24"/>
                <w:lang w:bidi="ar"/>
              </w:rPr>
            </w:pPr>
            <w:r>
              <w:rPr>
                <w:rFonts w:hint="eastAsia" w:ascii="宋体" w:hAnsi="宋体" w:eastAsia="宋体" w:cs="宋体"/>
                <w:b/>
                <w:bCs/>
                <w:color w:val="000000"/>
                <w:kern w:val="0"/>
                <w:sz w:val="24"/>
                <w:szCs w:val="24"/>
                <w:lang w:bidi="ar"/>
              </w:rPr>
              <w:t>（二）符合性审查</w:t>
            </w:r>
          </w:p>
        </w:tc>
      </w:tr>
      <w:tr w14:paraId="7D15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33" w:type="pct"/>
            <w:noWrap w:val="0"/>
            <w:tcMar>
              <w:top w:w="15" w:type="dxa"/>
              <w:left w:w="15" w:type="dxa"/>
              <w:right w:w="15" w:type="dxa"/>
            </w:tcMar>
            <w:vAlign w:val="center"/>
          </w:tcPr>
          <w:p w14:paraId="2830D973">
            <w:pPr>
              <w:spacing w:line="460" w:lineRule="exact"/>
              <w:jc w:val="center"/>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1</w:t>
            </w:r>
          </w:p>
        </w:tc>
        <w:tc>
          <w:tcPr>
            <w:tcW w:w="4566" w:type="pct"/>
            <w:noWrap w:val="0"/>
            <w:tcMar>
              <w:top w:w="15" w:type="dxa"/>
              <w:left w:w="15" w:type="dxa"/>
              <w:right w:w="15" w:type="dxa"/>
            </w:tcMar>
            <w:vAlign w:val="center"/>
          </w:tcPr>
          <w:p w14:paraId="546A43C7">
            <w:pPr>
              <w:spacing w:line="4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供应商必须按照磋商文件要求提交磋商保证金，并在响应文件中提供提交磋商保证金的证明材料；</w:t>
            </w:r>
          </w:p>
        </w:tc>
      </w:tr>
      <w:tr w14:paraId="6400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33" w:type="pct"/>
            <w:noWrap w:val="0"/>
            <w:tcMar>
              <w:top w:w="15" w:type="dxa"/>
              <w:left w:w="15" w:type="dxa"/>
              <w:right w:w="15" w:type="dxa"/>
            </w:tcMar>
            <w:vAlign w:val="center"/>
          </w:tcPr>
          <w:p w14:paraId="39AF3F3D">
            <w:pPr>
              <w:spacing w:line="460" w:lineRule="exact"/>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2</w:t>
            </w:r>
          </w:p>
        </w:tc>
        <w:tc>
          <w:tcPr>
            <w:tcW w:w="4566" w:type="pct"/>
            <w:noWrap w:val="0"/>
            <w:tcMar>
              <w:top w:w="15" w:type="dxa"/>
              <w:left w:w="15" w:type="dxa"/>
              <w:right w:w="15" w:type="dxa"/>
            </w:tcMar>
            <w:vAlign w:val="center"/>
          </w:tcPr>
          <w:p w14:paraId="7AF1606F">
            <w:pPr>
              <w:spacing w:line="4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非法定代表人本人参与磋商，须提供有效的法定代表人授权书；</w:t>
            </w:r>
          </w:p>
        </w:tc>
      </w:tr>
      <w:tr w14:paraId="42D6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33" w:type="pct"/>
            <w:noWrap w:val="0"/>
            <w:tcMar>
              <w:top w:w="15" w:type="dxa"/>
              <w:left w:w="15" w:type="dxa"/>
              <w:right w:w="15" w:type="dxa"/>
            </w:tcMar>
            <w:vAlign w:val="center"/>
          </w:tcPr>
          <w:p w14:paraId="46D5B46C">
            <w:pPr>
              <w:spacing w:line="460" w:lineRule="exact"/>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3</w:t>
            </w:r>
          </w:p>
        </w:tc>
        <w:tc>
          <w:tcPr>
            <w:tcW w:w="4566" w:type="pct"/>
            <w:noWrap w:val="0"/>
            <w:tcMar>
              <w:top w:w="15" w:type="dxa"/>
              <w:left w:w="15" w:type="dxa"/>
              <w:right w:w="15" w:type="dxa"/>
            </w:tcMar>
            <w:vAlign w:val="center"/>
          </w:tcPr>
          <w:p w14:paraId="1F353C4F">
            <w:pPr>
              <w:widowControl w:val="0"/>
              <w:spacing w:after="0" w:line="4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供应商必须按照</w:t>
            </w:r>
            <w:r>
              <w:rPr>
                <w:rFonts w:hint="eastAsia" w:ascii="宋体" w:hAnsi="宋体" w:eastAsia="宋体" w:cs="宋体"/>
                <w:sz w:val="24"/>
                <w:szCs w:val="24"/>
                <w:lang w:val="en-US" w:eastAsia="zh-CN"/>
              </w:rPr>
              <w:t>磋商</w:t>
            </w:r>
            <w:r>
              <w:rPr>
                <w:rFonts w:hint="eastAsia" w:ascii="宋体" w:hAnsi="宋体" w:eastAsia="宋体" w:cs="宋体"/>
                <w:kern w:val="2"/>
                <w:sz w:val="24"/>
                <w:szCs w:val="24"/>
                <w:lang w:val="en-US" w:eastAsia="zh-CN" w:bidi="ar-SA"/>
              </w:rPr>
              <w:t>文件要求提供报价一览表；</w:t>
            </w:r>
          </w:p>
        </w:tc>
      </w:tr>
      <w:tr w14:paraId="79EF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33" w:type="pct"/>
            <w:noWrap w:val="0"/>
            <w:tcMar>
              <w:top w:w="15" w:type="dxa"/>
              <w:left w:w="15" w:type="dxa"/>
              <w:right w:w="15" w:type="dxa"/>
            </w:tcMar>
            <w:vAlign w:val="center"/>
          </w:tcPr>
          <w:p w14:paraId="4B873070">
            <w:pPr>
              <w:spacing w:line="460" w:lineRule="exact"/>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4</w:t>
            </w:r>
          </w:p>
        </w:tc>
        <w:tc>
          <w:tcPr>
            <w:tcW w:w="4566" w:type="pct"/>
            <w:noWrap w:val="0"/>
            <w:tcMar>
              <w:top w:w="15" w:type="dxa"/>
              <w:left w:w="15" w:type="dxa"/>
              <w:right w:w="15" w:type="dxa"/>
            </w:tcMar>
            <w:vAlign w:val="center"/>
          </w:tcPr>
          <w:p w14:paraId="3D6F700A">
            <w:pPr>
              <w:spacing w:line="460" w:lineRule="exact"/>
              <w:jc w:val="left"/>
              <w:rPr>
                <w:rFonts w:hint="eastAsia" w:ascii="宋体" w:hAnsi="宋体" w:eastAsia="宋体" w:cs="宋体"/>
                <w:sz w:val="24"/>
                <w:szCs w:val="24"/>
              </w:rPr>
            </w:pPr>
            <w:r>
              <w:rPr>
                <w:rFonts w:hint="eastAsia" w:ascii="宋体" w:hAnsi="宋体" w:eastAsia="宋体" w:cs="宋体"/>
                <w:sz w:val="24"/>
                <w:szCs w:val="24"/>
              </w:rPr>
              <w:t>无法律、法规和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文件规定的其他无效情形。</w:t>
            </w:r>
          </w:p>
        </w:tc>
      </w:tr>
      <w:tr w14:paraId="3260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noWrap w:val="0"/>
            <w:tcMar>
              <w:top w:w="15" w:type="dxa"/>
              <w:left w:w="15" w:type="dxa"/>
              <w:right w:w="15" w:type="dxa"/>
            </w:tcMar>
            <w:vAlign w:val="center"/>
          </w:tcPr>
          <w:p w14:paraId="7AEE75DF">
            <w:pPr>
              <w:spacing w:line="460" w:lineRule="exact"/>
              <w:jc w:val="center"/>
              <w:rPr>
                <w:rFonts w:hint="eastAsia" w:ascii="宋体" w:hAnsi="宋体" w:eastAsia="宋体" w:cs="宋体"/>
                <w:b/>
                <w:bCs/>
                <w:kern w:val="0"/>
                <w:sz w:val="24"/>
                <w:szCs w:val="24"/>
                <w:highlight w:val="yellow"/>
                <w:lang w:bidi="ar"/>
              </w:rPr>
            </w:pPr>
            <w:r>
              <w:rPr>
                <w:rFonts w:hint="eastAsia" w:ascii="宋体" w:hAnsi="宋体" w:eastAsia="宋体" w:cs="宋体"/>
                <w:b/>
                <w:color w:val="000000"/>
                <w:kern w:val="0"/>
                <w:sz w:val="24"/>
                <w:szCs w:val="24"/>
                <w:lang w:bidi="ar"/>
              </w:rPr>
              <w:t>说明：以上任何一项不符合视为审查不合格，作无效</w:t>
            </w:r>
            <w:r>
              <w:rPr>
                <w:rFonts w:hint="eastAsia" w:ascii="宋体" w:hAnsi="宋体" w:eastAsia="宋体" w:cs="宋体"/>
                <w:b/>
                <w:color w:val="000000"/>
                <w:kern w:val="0"/>
                <w:sz w:val="24"/>
                <w:szCs w:val="24"/>
                <w:lang w:val="en-US" w:eastAsia="zh-CN" w:bidi="ar"/>
              </w:rPr>
              <w:t>响应</w:t>
            </w:r>
            <w:r>
              <w:rPr>
                <w:rFonts w:hint="eastAsia" w:ascii="宋体" w:hAnsi="宋体" w:eastAsia="宋体" w:cs="宋体"/>
                <w:b/>
                <w:color w:val="000000"/>
                <w:kern w:val="0"/>
                <w:sz w:val="24"/>
                <w:szCs w:val="24"/>
                <w:lang w:bidi="ar"/>
              </w:rPr>
              <w:t>处理</w:t>
            </w:r>
            <w:r>
              <w:rPr>
                <w:rFonts w:hint="eastAsia" w:ascii="宋体" w:hAnsi="宋体" w:eastAsia="宋体" w:cs="宋体"/>
                <w:color w:val="000000"/>
                <w:sz w:val="24"/>
                <w:szCs w:val="24"/>
                <w:lang w:bidi="ar"/>
              </w:rPr>
              <w:t>。</w:t>
            </w:r>
          </w:p>
        </w:tc>
      </w:tr>
      <w:bookmarkEnd w:id="19"/>
    </w:tbl>
    <w:p w14:paraId="3BF12D81">
      <w:pPr>
        <w:widowControl/>
        <w:numPr>
          <w:ilvl w:val="0"/>
          <w:numId w:val="0"/>
        </w:numPr>
        <w:spacing w:line="560" w:lineRule="exact"/>
        <w:jc w:val="left"/>
        <w:textAlignment w:val="center"/>
        <w:rPr>
          <w:rFonts w:hint="eastAsia" w:ascii="宋体" w:hAnsi="宋体" w:cs="宋体"/>
          <w:b/>
          <w:bCs/>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三</w:t>
      </w:r>
      <w:r>
        <w:rPr>
          <w:rFonts w:hint="eastAsia" w:ascii="宋体" w:hAnsi="宋体"/>
          <w:b/>
          <w:bCs/>
          <w:sz w:val="24"/>
          <w:szCs w:val="24"/>
          <w:highlight w:val="none"/>
          <w:lang w:eastAsia="zh-CN"/>
        </w:rPr>
        <w:t>）</w:t>
      </w:r>
      <w:r>
        <w:rPr>
          <w:rFonts w:hint="eastAsia" w:ascii="宋体" w:hAnsi="宋体" w:cs="宋体"/>
          <w:b/>
          <w:bCs/>
          <w:sz w:val="24"/>
          <w:szCs w:val="24"/>
          <w:highlight w:val="none"/>
        </w:rPr>
        <w:t>评审标准</w:t>
      </w:r>
    </w:p>
    <w:p w14:paraId="3B06D8DE">
      <w:pPr>
        <w:widowControl/>
        <w:numPr>
          <w:ilvl w:val="0"/>
          <w:numId w:val="0"/>
        </w:numPr>
        <w:spacing w:line="560" w:lineRule="exact"/>
        <w:ind w:firstLine="476" w:firstLineChars="200"/>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highlight w:val="none"/>
        </w:rPr>
        <w:t>本项目</w:t>
      </w:r>
      <w:r>
        <w:rPr>
          <w:rFonts w:hint="eastAsia" w:ascii="宋体" w:hAnsi="宋体"/>
          <w:bCs/>
          <w:color w:val="000000"/>
          <w:sz w:val="24"/>
          <w:szCs w:val="24"/>
          <w:highlight w:val="none"/>
        </w:rPr>
        <w:t>经磋商确定最终采购需求和提交最后报价的供应商后，由磋商小组采用综合评分法对提交最后报价的供应商的响应文件和最后报价进行综合评分。总</w:t>
      </w:r>
      <w:r>
        <w:rPr>
          <w:rFonts w:hint="eastAsia" w:ascii="宋体" w:hAnsi="宋体"/>
          <w:bCs/>
          <w:color w:val="auto"/>
          <w:sz w:val="24"/>
          <w:szCs w:val="24"/>
          <w:highlight w:val="none"/>
        </w:rPr>
        <w:t>分</w:t>
      </w:r>
      <w:r>
        <w:rPr>
          <w:rFonts w:hint="eastAsia" w:ascii="宋体" w:hAnsi="宋体"/>
          <w:bCs/>
          <w:color w:val="auto"/>
          <w:sz w:val="24"/>
          <w:szCs w:val="24"/>
          <w:highlight w:val="none"/>
          <w:lang w:val="en-US" w:eastAsia="zh-CN"/>
        </w:rPr>
        <w:t>100</w:t>
      </w:r>
      <w:r>
        <w:rPr>
          <w:rFonts w:hint="eastAsia" w:ascii="宋体" w:hAnsi="宋体"/>
          <w:bCs/>
          <w:color w:val="auto"/>
          <w:sz w:val="24"/>
          <w:szCs w:val="24"/>
          <w:highlight w:val="none"/>
        </w:rPr>
        <w:t>分</w:t>
      </w:r>
      <w:r>
        <w:rPr>
          <w:rFonts w:hint="eastAsia" w:ascii="宋体" w:hAnsi="宋体"/>
          <w:bCs/>
          <w:color w:val="000000"/>
          <w:sz w:val="24"/>
          <w:szCs w:val="24"/>
          <w:highlight w:val="none"/>
        </w:rPr>
        <w:t>。</w:t>
      </w:r>
    </w:p>
    <w:tbl>
      <w:tblPr>
        <w:tblStyle w:val="23"/>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7350"/>
        <w:gridCol w:w="961"/>
      </w:tblGrid>
      <w:tr w14:paraId="66C7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541DA70">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（一）价格部分（</w:t>
            </w:r>
            <w:r>
              <w:rPr>
                <w:rFonts w:hint="eastAsia" w:ascii="宋体" w:hAnsi="宋体" w:eastAsia="宋体" w:cs="宋体"/>
                <w:b/>
                <w:i w:val="0"/>
                <w:iCs w:val="0"/>
                <w:snapToGrid/>
                <w:color w:val="auto"/>
                <w:kern w:val="2"/>
                <w:sz w:val="24"/>
                <w:szCs w:val="24"/>
                <w:highlight w:val="none"/>
                <w:lang w:val="en-US" w:eastAsia="zh-CN"/>
              </w:rPr>
              <w:t>30</w:t>
            </w:r>
            <w:r>
              <w:rPr>
                <w:rFonts w:hint="eastAsia" w:ascii="宋体" w:hAnsi="宋体" w:eastAsia="宋体" w:cs="宋体"/>
                <w:b/>
                <w:i w:val="0"/>
                <w:iCs w:val="0"/>
                <w:snapToGrid/>
                <w:color w:val="auto"/>
                <w:kern w:val="2"/>
                <w:sz w:val="24"/>
                <w:szCs w:val="24"/>
                <w:highlight w:val="none"/>
                <w:lang w:eastAsia="zh-CN"/>
              </w:rPr>
              <w:t>分</w:t>
            </w:r>
            <w:r>
              <w:rPr>
                <w:rFonts w:hint="eastAsia" w:ascii="宋体" w:hAnsi="宋体" w:eastAsia="宋体" w:cs="宋体"/>
                <w:b/>
                <w:i w:val="0"/>
                <w:iCs w:val="0"/>
                <w:snapToGrid/>
                <w:color w:val="auto"/>
                <w:kern w:val="0"/>
                <w:sz w:val="24"/>
                <w:szCs w:val="24"/>
                <w:highlight w:val="none"/>
                <w:lang w:eastAsia="zh-CN"/>
              </w:rPr>
              <w:t>）</w:t>
            </w:r>
          </w:p>
        </w:tc>
      </w:tr>
      <w:tr w14:paraId="2B05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783BDB9A">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Cs/>
                <w:i w:val="0"/>
                <w:iCs w:val="0"/>
                <w:snapToGrid/>
                <w:color w:val="auto"/>
                <w:kern w:val="0"/>
                <w:sz w:val="24"/>
                <w:szCs w:val="24"/>
                <w:lang w:eastAsia="zh-CN"/>
              </w:rPr>
            </w:pPr>
            <w:r>
              <w:rPr>
                <w:rFonts w:hint="eastAsia" w:ascii="宋体" w:hAnsi="宋体" w:eastAsia="宋体" w:cs="宋体"/>
                <w:b/>
                <w:i w:val="0"/>
                <w:iCs w:val="0"/>
                <w:snapToGrid/>
                <w:color w:val="auto"/>
                <w:kern w:val="0"/>
                <w:sz w:val="24"/>
                <w:szCs w:val="24"/>
                <w:lang w:eastAsia="zh-CN"/>
              </w:rPr>
              <w:t>评分点</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331EDF48">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bCs/>
                <w:i w:val="0"/>
                <w:iCs w:val="0"/>
                <w:snapToGrid/>
                <w:color w:val="auto"/>
                <w:kern w:val="2"/>
                <w:sz w:val="24"/>
                <w:szCs w:val="24"/>
                <w:lang w:eastAsia="zh-CN"/>
              </w:rPr>
            </w:pPr>
            <w:r>
              <w:rPr>
                <w:rFonts w:hint="eastAsia" w:ascii="宋体" w:hAnsi="宋体" w:eastAsia="宋体" w:cs="宋体"/>
                <w:b/>
                <w:i w:val="0"/>
                <w:iCs w:val="0"/>
                <w:snapToGrid/>
                <w:color w:val="auto"/>
                <w:kern w:val="0"/>
                <w:sz w:val="24"/>
                <w:szCs w:val="24"/>
                <w:lang w:eastAsia="zh-CN"/>
              </w:rPr>
              <w:t>评审内容</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15226205">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Cs/>
                <w:i w:val="0"/>
                <w:iCs w:val="0"/>
                <w:snapToGrid/>
                <w:color w:val="auto"/>
                <w:kern w:val="0"/>
                <w:sz w:val="24"/>
                <w:szCs w:val="24"/>
                <w:lang w:eastAsia="zh-CN"/>
              </w:rPr>
            </w:pPr>
            <w:r>
              <w:rPr>
                <w:rFonts w:hint="eastAsia" w:ascii="宋体" w:hAnsi="宋体" w:eastAsia="宋体" w:cs="宋体"/>
                <w:b/>
                <w:i w:val="0"/>
                <w:iCs w:val="0"/>
                <w:snapToGrid/>
                <w:color w:val="auto"/>
                <w:kern w:val="0"/>
                <w:sz w:val="24"/>
                <w:szCs w:val="24"/>
                <w:lang w:eastAsia="zh-CN"/>
              </w:rPr>
              <w:t>分值</w:t>
            </w:r>
          </w:p>
        </w:tc>
      </w:tr>
      <w:tr w14:paraId="2CC3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48B2C775">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报价</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2BA21E8C">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价格分采用低价优先法计算，即满足磋商文件要求且最后磋商报价最低的磋商报价为磋商基准价，其价格分为满分。</w:t>
            </w:r>
          </w:p>
          <w:p w14:paraId="7998A208">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其他供应商的价格分统一按下列公式计算：</w:t>
            </w:r>
          </w:p>
          <w:p w14:paraId="54E355E9">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报价得分=（磋商基准价/最后磋商报价）×</w:t>
            </w:r>
            <w:r>
              <w:rPr>
                <w:rFonts w:hint="eastAsia" w:ascii="宋体" w:hAnsi="宋体" w:eastAsia="宋体" w:cs="宋体"/>
                <w:bCs/>
                <w:i w:val="0"/>
                <w:iCs w:val="0"/>
                <w:snapToGrid/>
                <w:color w:val="auto"/>
                <w:kern w:val="0"/>
                <w:sz w:val="24"/>
                <w:szCs w:val="24"/>
                <w:highlight w:val="none"/>
                <w:lang w:val="en-US" w:eastAsia="zh-CN"/>
              </w:rPr>
              <w:t>30</w:t>
            </w:r>
            <w:r>
              <w:rPr>
                <w:rFonts w:hint="eastAsia" w:ascii="宋体" w:hAnsi="宋体" w:eastAsia="宋体" w:cs="宋体"/>
                <w:bCs/>
                <w:i w:val="0"/>
                <w:iCs w:val="0"/>
                <w:snapToGrid/>
                <w:color w:val="auto"/>
                <w:kern w:val="0"/>
                <w:sz w:val="24"/>
                <w:szCs w:val="24"/>
                <w:highlight w:val="none"/>
                <w:lang w:eastAsia="zh-CN"/>
              </w:rPr>
              <w:t>；计算结果保留至小数点后两位。</w:t>
            </w:r>
          </w:p>
          <w:p w14:paraId="1B4AA677">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bidi="ar"/>
              </w:rPr>
              <w:t>评审依据：最后报价。</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263D845F">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val="en-US" w:eastAsia="zh-CN"/>
              </w:rPr>
              <w:t>30</w:t>
            </w:r>
            <w:r>
              <w:rPr>
                <w:rFonts w:hint="eastAsia" w:ascii="宋体" w:hAnsi="宋体" w:eastAsia="宋体" w:cs="宋体"/>
                <w:bCs/>
                <w:i w:val="0"/>
                <w:iCs w:val="0"/>
                <w:snapToGrid/>
                <w:color w:val="auto"/>
                <w:kern w:val="0"/>
                <w:sz w:val="24"/>
                <w:szCs w:val="24"/>
                <w:highlight w:val="none"/>
                <w:lang w:eastAsia="zh-CN"/>
              </w:rPr>
              <w:t>分</w:t>
            </w:r>
          </w:p>
        </w:tc>
      </w:tr>
      <w:tr w14:paraId="4BA4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8A2C122">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（二）技术</w:t>
            </w:r>
            <w:r>
              <w:rPr>
                <w:rFonts w:hint="eastAsia" w:ascii="宋体" w:hAnsi="宋体" w:eastAsia="宋体" w:cs="宋体"/>
                <w:b/>
                <w:i w:val="0"/>
                <w:iCs w:val="0"/>
                <w:snapToGrid/>
                <w:color w:val="auto"/>
                <w:kern w:val="0"/>
                <w:sz w:val="24"/>
                <w:szCs w:val="24"/>
                <w:lang w:eastAsia="zh-CN"/>
              </w:rPr>
              <w:t>部分（</w:t>
            </w:r>
            <w:r>
              <w:rPr>
                <w:rFonts w:hint="eastAsia" w:ascii="宋体" w:hAnsi="宋体" w:cs="宋体"/>
                <w:b/>
                <w:i w:val="0"/>
                <w:iCs w:val="0"/>
                <w:snapToGrid/>
                <w:color w:val="auto"/>
                <w:kern w:val="0"/>
                <w:sz w:val="24"/>
                <w:szCs w:val="24"/>
                <w:lang w:val="en-US" w:eastAsia="zh-CN"/>
              </w:rPr>
              <w:t>49</w:t>
            </w:r>
            <w:r>
              <w:rPr>
                <w:rFonts w:hint="eastAsia" w:ascii="宋体" w:hAnsi="宋体" w:eastAsia="宋体" w:cs="宋体"/>
                <w:b/>
                <w:i w:val="0"/>
                <w:iCs w:val="0"/>
                <w:snapToGrid/>
                <w:color w:val="auto"/>
                <w:kern w:val="2"/>
                <w:sz w:val="24"/>
                <w:szCs w:val="24"/>
                <w:lang w:eastAsia="zh-CN"/>
              </w:rPr>
              <w:t>分</w:t>
            </w:r>
            <w:r>
              <w:rPr>
                <w:rFonts w:hint="eastAsia" w:ascii="宋体" w:hAnsi="宋体" w:eastAsia="宋体" w:cs="宋体"/>
                <w:b/>
                <w:i w:val="0"/>
                <w:iCs w:val="0"/>
                <w:snapToGrid/>
                <w:color w:val="auto"/>
                <w:kern w:val="0"/>
                <w:sz w:val="24"/>
                <w:szCs w:val="24"/>
                <w:lang w:eastAsia="zh-CN"/>
              </w:rPr>
              <w:t>）</w:t>
            </w:r>
          </w:p>
        </w:tc>
      </w:tr>
      <w:tr w14:paraId="310A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1193BDFC">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评分点</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3F12B69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评审内容</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618102ED">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分值</w:t>
            </w:r>
          </w:p>
        </w:tc>
      </w:tr>
      <w:tr w14:paraId="6B60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61A88FA2">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Cs/>
                <w:i w:val="0"/>
                <w:iCs w:val="0"/>
                <w:snapToGrid/>
                <w:color w:val="000000"/>
                <w:kern w:val="0"/>
                <w:sz w:val="24"/>
                <w:szCs w:val="24"/>
                <w:lang w:eastAsia="zh-CN"/>
              </w:rPr>
            </w:pPr>
            <w:r>
              <w:rPr>
                <w:rFonts w:hint="eastAsia"/>
                <w:color w:val="000000"/>
                <w:sz w:val="24"/>
                <w:szCs w:val="24"/>
                <w:highlight w:val="none"/>
              </w:rPr>
              <w:t>技术参数响应情况</w:t>
            </w:r>
          </w:p>
        </w:tc>
        <w:tc>
          <w:tcPr>
            <w:tcW w:w="3884" w:type="pct"/>
            <w:tcBorders>
              <w:top w:val="single" w:color="auto" w:sz="4" w:space="0"/>
              <w:left w:val="single" w:color="auto" w:sz="4" w:space="0"/>
              <w:bottom w:val="single" w:color="auto" w:sz="4" w:space="0"/>
              <w:right w:val="single" w:color="auto" w:sz="4" w:space="0"/>
            </w:tcBorders>
            <w:noWrap w:val="0"/>
            <w:vAlign w:val="top"/>
          </w:tcPr>
          <w:p w14:paraId="1C1A7857">
            <w:pPr>
              <w:spacing w:line="360" w:lineRule="auto"/>
              <w:jc w:val="left"/>
              <w:rPr>
                <w:rFonts w:hint="eastAsia" w:ascii="宋体" w:hAnsi="宋体" w:eastAsia="宋体" w:cs="宋体"/>
                <w:color w:val="000000"/>
                <w:sz w:val="24"/>
                <w:szCs w:val="24"/>
                <w:highlight w:val="none"/>
                <w:lang w:val="en-US" w:eastAsia="zh-CN"/>
              </w:rPr>
            </w:pPr>
            <w:r>
              <w:rPr>
                <w:rFonts w:hint="eastAsia"/>
                <w:sz w:val="24"/>
                <w:szCs w:val="24"/>
                <w:lang w:val="en-US" w:eastAsia="zh-CN"/>
              </w:rPr>
              <w:t>根据供应商所投产品对采购需求中</w:t>
            </w:r>
            <w:r>
              <w:rPr>
                <w:sz w:val="24"/>
                <w:szCs w:val="24"/>
              </w:rPr>
              <w:t>加注“</w:t>
            </w:r>
            <w:r>
              <w:rPr>
                <w:rFonts w:hint="eastAsia" w:ascii="宋体" w:hAnsi="宋体" w:eastAsia="宋体" w:cs="宋体"/>
                <w:color w:val="000000"/>
                <w:sz w:val="24"/>
                <w:szCs w:val="24"/>
                <w:highlight w:val="none"/>
                <w:lang w:val="en-US" w:eastAsia="zh-CN"/>
              </w:rPr>
              <w:t>★</w:t>
            </w:r>
            <w:r>
              <w:rPr>
                <w:sz w:val="24"/>
                <w:szCs w:val="24"/>
              </w:rPr>
              <w:t>”号的技术参数响应情况进行评分：全部满足的得</w:t>
            </w:r>
            <w:r>
              <w:rPr>
                <w:rFonts w:hint="eastAsia"/>
                <w:sz w:val="24"/>
                <w:szCs w:val="24"/>
                <w:lang w:val="en-US" w:eastAsia="zh-CN"/>
              </w:rPr>
              <w:t>24</w:t>
            </w:r>
            <w:r>
              <w:rPr>
                <w:sz w:val="24"/>
                <w:szCs w:val="24"/>
              </w:rPr>
              <w:t>分，每出现一项负偏离扣2分，扣完为止。</w:t>
            </w:r>
          </w:p>
          <w:p w14:paraId="456EDE9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default" w:ascii="宋体" w:hAnsi="宋体" w:eastAsia="宋体" w:cs="宋体"/>
                <w:bCs/>
                <w:i w:val="0"/>
                <w:iCs w:val="0"/>
                <w:snapToGrid/>
                <w:color w:val="000000"/>
                <w:kern w:val="0"/>
                <w:sz w:val="24"/>
                <w:szCs w:val="24"/>
                <w:lang w:val="en-US" w:eastAsia="zh-CN"/>
              </w:rPr>
            </w:pPr>
            <w:r>
              <w:rPr>
                <w:rFonts w:hint="eastAsia" w:ascii="宋体" w:hAnsi="宋体" w:eastAsia="宋体" w:cs="宋体"/>
                <w:b/>
                <w:bCs w:val="0"/>
                <w:i w:val="0"/>
                <w:iCs w:val="0"/>
                <w:snapToGrid/>
                <w:color w:val="000000"/>
                <w:kern w:val="0"/>
                <w:sz w:val="24"/>
                <w:szCs w:val="24"/>
                <w:lang w:eastAsia="zh-CN" w:bidi="ar"/>
              </w:rPr>
              <w:t>评审依据：</w:t>
            </w:r>
            <w:r>
              <w:rPr>
                <w:rFonts w:hint="eastAsia" w:ascii="宋体" w:hAnsi="宋体" w:eastAsia="宋体" w:cs="宋体"/>
                <w:b/>
                <w:bCs w:val="0"/>
                <w:color w:val="000000"/>
                <w:sz w:val="24"/>
                <w:szCs w:val="24"/>
                <w:highlight w:val="none"/>
                <w:lang w:val="en-US" w:eastAsia="zh-CN"/>
              </w:rPr>
              <w:t>带“★”项提供技术参数确认函并加盖制造商公章或相关功能系统截图并加盖供应商公章。</w:t>
            </w:r>
          </w:p>
        </w:tc>
        <w:tc>
          <w:tcPr>
            <w:tcW w:w="507" w:type="pct"/>
            <w:tcBorders>
              <w:top w:val="single" w:color="auto" w:sz="4" w:space="0"/>
              <w:left w:val="single" w:color="auto" w:sz="4" w:space="0"/>
              <w:bottom w:val="single" w:color="auto" w:sz="4" w:space="0"/>
              <w:right w:val="single" w:color="auto" w:sz="4" w:space="0"/>
            </w:tcBorders>
            <w:noWrap w:val="0"/>
            <w:vAlign w:val="top"/>
          </w:tcPr>
          <w:p w14:paraId="0DF57E22">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
                <w:i w:val="0"/>
                <w:iCs w:val="0"/>
                <w:snapToGrid/>
                <w:color w:val="000000"/>
                <w:kern w:val="0"/>
                <w:sz w:val="24"/>
                <w:szCs w:val="24"/>
                <w:lang w:eastAsia="zh-CN" w:bidi="ar"/>
              </w:rPr>
            </w:pPr>
          </w:p>
          <w:p w14:paraId="3253B09E">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
                <w:i w:val="0"/>
                <w:iCs w:val="0"/>
                <w:snapToGrid/>
                <w:color w:val="000000"/>
                <w:kern w:val="0"/>
                <w:sz w:val="24"/>
                <w:szCs w:val="24"/>
                <w:lang w:eastAsia="zh-CN" w:bidi="ar"/>
              </w:rPr>
            </w:pPr>
          </w:p>
          <w:p w14:paraId="0BEF2C11">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default" w:ascii="宋体" w:hAnsi="宋体" w:eastAsia="宋体" w:cs="宋体"/>
                <w:b/>
                <w:i w:val="0"/>
                <w:iCs w:val="0"/>
                <w:snapToGrid/>
                <w:color w:val="000000"/>
                <w:kern w:val="0"/>
                <w:sz w:val="24"/>
                <w:szCs w:val="24"/>
                <w:lang w:val="en-US" w:eastAsia="zh-CN" w:bidi="ar"/>
              </w:rPr>
            </w:pPr>
            <w:r>
              <w:rPr>
                <w:rFonts w:hint="eastAsia" w:ascii="宋体" w:hAnsi="宋体" w:cs="宋体"/>
                <w:b/>
                <w:i w:val="0"/>
                <w:iCs w:val="0"/>
                <w:snapToGrid/>
                <w:color w:val="000000"/>
                <w:kern w:val="0"/>
                <w:sz w:val="24"/>
                <w:szCs w:val="24"/>
                <w:lang w:val="en-US" w:eastAsia="zh-CN" w:bidi="ar"/>
              </w:rPr>
              <w:t xml:space="preserve"> </w:t>
            </w:r>
            <w:r>
              <w:rPr>
                <w:rFonts w:hint="eastAsia" w:ascii="宋体" w:hAnsi="宋体" w:cs="宋体"/>
                <w:b w:val="0"/>
                <w:bCs/>
                <w:i w:val="0"/>
                <w:iCs w:val="0"/>
                <w:snapToGrid/>
                <w:color w:val="000000"/>
                <w:kern w:val="0"/>
                <w:sz w:val="24"/>
                <w:szCs w:val="24"/>
                <w:lang w:val="en-US" w:eastAsia="zh-CN" w:bidi="ar"/>
              </w:rPr>
              <w:t>24分</w:t>
            </w:r>
          </w:p>
        </w:tc>
      </w:tr>
      <w:tr w14:paraId="7FA5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5DDBB8C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题库资源加分项</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0967800C">
            <w:pPr>
              <w:keepNext w:val="0"/>
              <w:keepLines w:val="0"/>
              <w:pageBreakBefore w:val="0"/>
              <w:widowControl/>
              <w:suppressLineNumbers w:val="0"/>
              <w:kinsoku/>
              <w:wordWrap/>
              <w:overflowPunct/>
              <w:topLinePunct w:val="0"/>
              <w:autoSpaceDE/>
              <w:autoSpaceDN/>
              <w:bidi w:val="0"/>
              <w:spacing w:line="440" w:lineRule="exact"/>
              <w:ind w:left="0" w:right="0"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5"/>
                <w:sz w:val="24"/>
                <w:szCs w:val="24"/>
                <w:highlight w:val="none"/>
                <w:lang w:val="en-US" w:eastAsia="zh-CN"/>
              </w:rPr>
              <w:t>题库系统在满足采购需求中的基本要求下，</w:t>
            </w:r>
            <w:r>
              <w:rPr>
                <w:rFonts w:hint="eastAsia" w:ascii="宋体" w:hAnsi="宋体" w:eastAsia="宋体" w:cs="宋体"/>
                <w:color w:val="000000"/>
                <w:kern w:val="0"/>
                <w:sz w:val="24"/>
                <w:szCs w:val="24"/>
                <w:lang w:val="en-US" w:eastAsia="zh-CN" w:bidi="ar"/>
              </w:rPr>
              <w:t>每增加下列任意 1 门学科（且每门学科题量不少于1000 题）， 加 2分，本项最高 10分。</w:t>
            </w:r>
          </w:p>
          <w:p w14:paraId="4C225B7C">
            <w:pPr>
              <w:pStyle w:val="44"/>
              <w:keepNext w:val="0"/>
              <w:keepLines w:val="0"/>
              <w:pageBreakBefore w:val="0"/>
              <w:widowControl/>
              <w:numPr>
                <w:ilvl w:val="0"/>
                <w:numId w:val="0"/>
              </w:numPr>
              <w:kinsoku/>
              <w:wordWrap/>
              <w:overflowPunct/>
              <w:topLinePunct w:val="0"/>
              <w:autoSpaceDE/>
              <w:autoSpaceDN/>
              <w:bidi w:val="0"/>
              <w:spacing w:line="440" w:lineRule="exact"/>
              <w:ind w:left="0" w:leftChars="0" w:right="0" w:firstLine="0"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卫</w:t>
            </w:r>
            <w:r>
              <w:rPr>
                <w:rFonts w:hint="eastAsia" w:ascii="宋体" w:hAnsi="宋体" w:eastAsia="宋体" w:cs="宋体"/>
                <w:color w:val="000000"/>
                <w:kern w:val="0"/>
                <w:sz w:val="24"/>
                <w:szCs w:val="24"/>
                <w:highlight w:val="none"/>
              </w:rPr>
              <w:t>生学、医患沟通学、护士人文修养、</w:t>
            </w:r>
            <w:r>
              <w:rPr>
                <w:rFonts w:hint="eastAsia" w:ascii="宋体" w:hAnsi="宋体" w:eastAsia="宋体" w:cs="宋体"/>
                <w:color w:val="000000"/>
                <w:kern w:val="0"/>
                <w:sz w:val="24"/>
                <w:szCs w:val="24"/>
              </w:rPr>
              <w:t>医学导论</w:t>
            </w:r>
            <w:r>
              <w:rPr>
                <w:rFonts w:hint="eastAsia" w:ascii="宋体" w:hAnsi="宋体" w:eastAsia="宋体" w:cs="宋体"/>
                <w:color w:val="000000"/>
                <w:kern w:val="0"/>
                <w:sz w:val="24"/>
                <w:szCs w:val="24"/>
                <w:highlight w:val="none"/>
              </w:rPr>
              <w:t>、肿瘤学概论。</w:t>
            </w:r>
          </w:p>
          <w:p w14:paraId="2EBD17C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left"/>
              <w:textAlignment w:val="auto"/>
              <w:rPr>
                <w:rFonts w:hint="eastAsia" w:ascii="宋体" w:hAnsi="宋体" w:eastAsia="宋体" w:cs="宋体"/>
                <w:b w:val="0"/>
                <w:bCs w:val="0"/>
                <w:i w:val="0"/>
                <w:iCs w:val="0"/>
                <w:caps w:val="0"/>
                <w:color w:val="000000"/>
                <w:spacing w:val="0"/>
                <w:sz w:val="24"/>
                <w:szCs w:val="24"/>
                <w:highlight w:val="none"/>
                <w:shd w:val="clear" w:color="auto" w:fill="FFFFFF"/>
                <w:lang w:val="en-US" w:eastAsia="zh-CN"/>
              </w:rPr>
            </w:pPr>
            <w:r>
              <w:rPr>
                <w:rFonts w:hint="eastAsia" w:ascii="宋体" w:hAnsi="宋体" w:eastAsia="宋体" w:cs="宋体"/>
                <w:b/>
                <w:bCs/>
                <w:color w:val="000000"/>
                <w:sz w:val="24"/>
                <w:szCs w:val="24"/>
              </w:rPr>
              <w:t>评审依据：</w:t>
            </w:r>
            <w:r>
              <w:rPr>
                <w:rFonts w:hint="eastAsia" w:ascii="宋体" w:hAnsi="宋体" w:eastAsia="宋体" w:cs="宋体"/>
                <w:b/>
                <w:bCs/>
                <w:color w:val="000000"/>
                <w:kern w:val="0"/>
                <w:sz w:val="24"/>
                <w:szCs w:val="24"/>
                <w:lang w:val="en-US" w:eastAsia="zh-CN" w:bidi="ar"/>
              </w:rPr>
              <w:t>提供承诺函、平台学科资源截图及详细的学科清单并加盖供应商公章佐证。</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70F46CA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分</w:t>
            </w:r>
          </w:p>
        </w:tc>
      </w:tr>
      <w:tr w14:paraId="5E84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1675D21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 w:val="0"/>
                <w:bCs/>
                <w:strike w:val="0"/>
                <w:dstrike w:val="0"/>
                <w:color w:val="auto"/>
                <w:sz w:val="24"/>
                <w:szCs w:val="24"/>
                <w:lang w:val="en-US" w:eastAsia="zh-CN"/>
              </w:rPr>
            </w:pPr>
            <w:r>
              <w:rPr>
                <w:rFonts w:hint="eastAsia" w:ascii="宋体" w:hAnsi="宋体" w:eastAsia="宋体" w:cs="宋体"/>
                <w:b w:val="0"/>
                <w:bCs/>
                <w:strike w:val="0"/>
                <w:dstrike w:val="0"/>
                <w:color w:val="auto"/>
                <w:sz w:val="24"/>
                <w:szCs w:val="24"/>
                <w:lang w:val="en-US" w:eastAsia="zh-CN"/>
              </w:rPr>
              <w:t>平台</w:t>
            </w:r>
          </w:p>
          <w:p w14:paraId="3D0B709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 w:val="0"/>
                <w:bCs/>
                <w:i w:val="0"/>
                <w:iCs w:val="0"/>
                <w:caps w:val="0"/>
                <w:strike w:val="0"/>
                <w:dstrike w:val="0"/>
                <w:color w:val="auto"/>
                <w:spacing w:val="0"/>
                <w:sz w:val="24"/>
                <w:szCs w:val="24"/>
                <w:highlight w:val="none"/>
                <w:shd w:val="clear" w:color="auto" w:fill="FFFFFF"/>
                <w:lang w:val="en-US" w:eastAsia="zh-CN"/>
              </w:rPr>
            </w:pPr>
            <w:r>
              <w:rPr>
                <w:rFonts w:hint="eastAsia" w:ascii="宋体" w:hAnsi="宋体" w:eastAsia="宋体" w:cs="宋体"/>
                <w:b w:val="0"/>
                <w:bCs/>
                <w:strike w:val="0"/>
                <w:dstrike w:val="0"/>
                <w:color w:val="auto"/>
                <w:sz w:val="24"/>
                <w:szCs w:val="24"/>
                <w:lang w:val="en-US" w:eastAsia="zh-CN"/>
              </w:rPr>
              <w:t>资质</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1037E946">
            <w:pPr>
              <w:pStyle w:val="8"/>
              <w:keepNext w:val="0"/>
              <w:keepLines w:val="0"/>
              <w:pageBreakBefore w:val="0"/>
              <w:kinsoku/>
              <w:wordWrap/>
              <w:overflowPunct/>
              <w:topLinePunct w:val="0"/>
              <w:autoSpaceDE/>
              <w:autoSpaceDN/>
              <w:bidi w:val="0"/>
              <w:spacing w:line="440" w:lineRule="exact"/>
              <w:ind w:left="0" w:right="0" w:firstLine="0" w:firstLineChars="0"/>
              <w:textAlignment w:val="auto"/>
              <w:rPr>
                <w:rFonts w:hint="default" w:ascii="宋体" w:hAnsi="宋体" w:eastAsia="宋体" w:cs="宋体"/>
                <w:bCs/>
                <w:strike w:val="0"/>
                <w:dstrike w:val="0"/>
                <w:color w:val="000000"/>
                <w:kern w:val="0"/>
                <w:sz w:val="24"/>
                <w:szCs w:val="24"/>
                <w:highlight w:val="none"/>
                <w:lang w:val="en-US" w:eastAsia="zh-CN"/>
              </w:rPr>
            </w:pPr>
            <w:r>
              <w:rPr>
                <w:rFonts w:hint="eastAsia" w:ascii="宋体" w:hAnsi="宋体" w:eastAsia="宋体" w:cs="宋体"/>
                <w:bCs/>
                <w:strike w:val="0"/>
                <w:dstrike w:val="0"/>
                <w:color w:val="000000"/>
                <w:kern w:val="0"/>
                <w:sz w:val="24"/>
                <w:szCs w:val="24"/>
                <w:highlight w:val="none"/>
                <w:lang w:val="en-US" w:eastAsia="zh-CN"/>
              </w:rPr>
              <w:t>平台</w:t>
            </w:r>
            <w:r>
              <w:rPr>
                <w:rFonts w:hint="eastAsia" w:ascii="宋体" w:hAnsi="宋体" w:eastAsia="宋体" w:cs="宋体"/>
                <w:bCs/>
                <w:strike w:val="0"/>
                <w:dstrike w:val="0"/>
                <w:color w:val="000000"/>
                <w:kern w:val="0"/>
                <w:sz w:val="24"/>
                <w:szCs w:val="24"/>
                <w:highlight w:val="none"/>
              </w:rPr>
              <w:t>具备</w:t>
            </w:r>
            <w:r>
              <w:rPr>
                <w:rFonts w:hint="eastAsia" w:ascii="宋体" w:hAnsi="宋体" w:eastAsia="宋体" w:cs="宋体"/>
                <w:bCs/>
                <w:strike w:val="0"/>
                <w:dstrike w:val="0"/>
                <w:color w:val="000000"/>
                <w:kern w:val="0"/>
                <w:sz w:val="24"/>
                <w:szCs w:val="24"/>
                <w:highlight w:val="none"/>
                <w:lang w:val="en-US" w:eastAsia="zh-CN"/>
              </w:rPr>
              <w:t>有效期内的</w:t>
            </w:r>
            <w:r>
              <w:rPr>
                <w:rFonts w:hint="eastAsia" w:ascii="宋体" w:hAnsi="宋体" w:eastAsia="宋体" w:cs="宋体"/>
                <w:bCs/>
                <w:strike w:val="0"/>
                <w:dstrike w:val="0"/>
                <w:color w:val="000000"/>
                <w:kern w:val="0"/>
                <w:sz w:val="24"/>
                <w:szCs w:val="24"/>
                <w:highlight w:val="none"/>
              </w:rPr>
              <w:t>系统安全等级保护备案证明（三级）</w:t>
            </w:r>
            <w:r>
              <w:rPr>
                <w:rFonts w:hint="eastAsia" w:ascii="宋体" w:hAnsi="宋体" w:eastAsia="宋体" w:cs="宋体"/>
                <w:bCs/>
                <w:strike w:val="0"/>
                <w:dstrike w:val="0"/>
                <w:color w:val="000000"/>
                <w:kern w:val="0"/>
                <w:sz w:val="24"/>
                <w:szCs w:val="24"/>
                <w:highlight w:val="none"/>
                <w:lang w:val="en-US" w:eastAsia="zh-CN"/>
              </w:rPr>
              <w:t>及以上的得</w:t>
            </w:r>
            <w:r>
              <w:rPr>
                <w:rFonts w:hint="eastAsia" w:ascii="宋体" w:hAnsi="宋体" w:cs="宋体"/>
                <w:bCs/>
                <w:strike w:val="0"/>
                <w:dstrike w:val="0"/>
                <w:color w:val="000000"/>
                <w:kern w:val="0"/>
                <w:sz w:val="24"/>
                <w:szCs w:val="24"/>
                <w:highlight w:val="none"/>
                <w:lang w:val="en-US" w:eastAsia="zh-CN"/>
              </w:rPr>
              <w:t>6</w:t>
            </w:r>
            <w:r>
              <w:rPr>
                <w:rFonts w:hint="eastAsia" w:ascii="宋体" w:hAnsi="宋体" w:eastAsia="宋体" w:cs="宋体"/>
                <w:bCs/>
                <w:strike w:val="0"/>
                <w:dstrike w:val="0"/>
                <w:color w:val="000000"/>
                <w:kern w:val="0"/>
                <w:sz w:val="24"/>
                <w:szCs w:val="24"/>
                <w:highlight w:val="none"/>
                <w:lang w:val="en-US" w:eastAsia="zh-CN"/>
              </w:rPr>
              <w:t>分。</w:t>
            </w:r>
          </w:p>
          <w:p w14:paraId="4BB87CA9">
            <w:pPr>
              <w:pStyle w:val="63"/>
              <w:keepNext w:val="0"/>
              <w:keepLines w:val="0"/>
              <w:pageBreakBefore w:val="0"/>
              <w:suppressLineNumbers w:val="0"/>
              <w:kinsoku/>
              <w:wordWrap/>
              <w:overflowPunct/>
              <w:topLinePunct w:val="0"/>
              <w:autoSpaceDE/>
              <w:autoSpaceDN/>
              <w:bidi w:val="0"/>
              <w:spacing w:beforeAutospacing="0" w:after="0" w:afterAutospacing="0" w:line="440" w:lineRule="exact"/>
              <w:ind w:left="0" w:leftChars="0" w:right="0" w:rightChars="0" w:firstLine="0" w:firstLineChars="0"/>
              <w:textAlignment w:val="auto"/>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pacing w:val="5"/>
                <w:sz w:val="24"/>
                <w:szCs w:val="24"/>
                <w:highlight w:val="none"/>
                <w:lang w:val="en-US" w:eastAsia="zh-CN"/>
              </w:rPr>
              <w:t>评审依据：提供相关证书复印件并加盖供应商公章</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07F94AA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cs="宋体"/>
                <w:strike w:val="0"/>
                <w:dstrike w:val="0"/>
                <w:color w:val="000000"/>
                <w:kern w:val="0"/>
                <w:sz w:val="24"/>
                <w:szCs w:val="24"/>
                <w:lang w:val="en-US" w:eastAsia="zh-CN"/>
              </w:rPr>
              <w:t>6</w:t>
            </w:r>
            <w:r>
              <w:rPr>
                <w:rFonts w:hint="eastAsia" w:ascii="宋体" w:hAnsi="宋体" w:eastAsia="宋体" w:cs="宋体"/>
                <w:strike w:val="0"/>
                <w:dstrike w:val="0"/>
                <w:color w:val="000000"/>
                <w:kern w:val="0"/>
                <w:sz w:val="24"/>
                <w:szCs w:val="24"/>
              </w:rPr>
              <w:t>分</w:t>
            </w:r>
          </w:p>
        </w:tc>
      </w:tr>
      <w:tr w14:paraId="3E6B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2BD6B90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 w:val="0"/>
                <w:bCs/>
                <w:i w:val="0"/>
                <w:iCs w:val="0"/>
                <w:caps w:val="0"/>
                <w:color w:val="000000"/>
                <w:spacing w:val="0"/>
                <w:sz w:val="24"/>
                <w:szCs w:val="24"/>
                <w:highlight w:val="none"/>
                <w:shd w:val="clear" w:color="auto" w:fill="FFFFFF"/>
                <w:lang w:val="en-US" w:eastAsia="zh-CN"/>
              </w:rPr>
            </w:pPr>
            <w:r>
              <w:rPr>
                <w:rFonts w:hint="eastAsia" w:ascii="宋体" w:hAnsi="宋体" w:eastAsia="宋体" w:cs="宋体"/>
                <w:b w:val="0"/>
                <w:bCs/>
                <w:color w:val="000000"/>
                <w:sz w:val="24"/>
                <w:szCs w:val="24"/>
                <w:lang w:val="en-US" w:eastAsia="zh-CN"/>
              </w:rPr>
              <w:t>项目实施方案</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1EDD5FCD">
            <w:pPr>
              <w:keepNext w:val="0"/>
              <w:keepLines w:val="0"/>
              <w:pageBreakBefore w:val="0"/>
              <w:widowControl/>
              <w:suppressLineNumbers w:val="0"/>
              <w:kinsoku/>
              <w:wordWrap/>
              <w:overflowPunct/>
              <w:topLinePunct w:val="0"/>
              <w:autoSpaceDE/>
              <w:autoSpaceDN/>
              <w:bidi w:val="0"/>
              <w:spacing w:line="440" w:lineRule="exact"/>
              <w:ind w:left="0" w:righ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根据本项目特点和实际需求制定项目实施方案，</w:t>
            </w:r>
            <w:r>
              <w:rPr>
                <w:rFonts w:hint="eastAsia" w:ascii="宋体" w:hAnsi="宋体" w:eastAsia="宋体" w:cs="宋体"/>
                <w:color w:val="000000"/>
                <w:sz w:val="24"/>
                <w:szCs w:val="24"/>
                <w:lang w:val="en-US" w:eastAsia="zh-CN"/>
              </w:rPr>
              <w:t>包含但不限于以下内容：（1）供货及安装实施方案（2）人员安排（3）质量保障等</w:t>
            </w:r>
            <w:r>
              <w:rPr>
                <w:rFonts w:hint="eastAsia" w:ascii="宋体" w:hAnsi="宋体" w:eastAsia="宋体" w:cs="宋体"/>
                <w:color w:val="000000"/>
                <w:kern w:val="0"/>
                <w:sz w:val="24"/>
                <w:szCs w:val="24"/>
                <w:lang w:val="en-US" w:eastAsia="zh-CN" w:bidi="ar"/>
              </w:rPr>
              <w:t xml:space="preserve">。 </w:t>
            </w:r>
          </w:p>
          <w:p w14:paraId="7ADF2DD9">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每有一项内容完全符合本项目采购需求的，该项内容得</w:t>
            </w:r>
            <w:r>
              <w:rPr>
                <w:rFonts w:hint="eastAsia" w:ascii="宋体" w:hAnsi="宋体" w:cs="宋体"/>
                <w:sz w:val="24"/>
                <w:szCs w:val="24"/>
                <w:lang w:val="en-US" w:eastAsia="zh-CN"/>
              </w:rPr>
              <w:t>3</w:t>
            </w:r>
            <w:r>
              <w:rPr>
                <w:rFonts w:hint="eastAsia" w:ascii="宋体" w:hAnsi="宋体" w:eastAsia="宋体" w:cs="宋体"/>
                <w:sz w:val="24"/>
                <w:szCs w:val="24"/>
              </w:rPr>
              <w:t>分；每有一项内容存在缺陷的，该项内容得</w:t>
            </w:r>
            <w:r>
              <w:rPr>
                <w:rFonts w:hint="eastAsia" w:ascii="宋体" w:hAnsi="宋体" w:cs="宋体"/>
                <w:sz w:val="24"/>
                <w:szCs w:val="24"/>
                <w:lang w:val="en-US" w:eastAsia="zh-CN"/>
              </w:rPr>
              <w:t>1</w:t>
            </w:r>
            <w:r>
              <w:rPr>
                <w:rFonts w:hint="eastAsia" w:ascii="宋体" w:hAnsi="宋体" w:eastAsia="宋体" w:cs="宋体"/>
                <w:sz w:val="24"/>
                <w:szCs w:val="24"/>
              </w:rPr>
              <w:t>分；每缺一项内容的，该项内容不得分；最高得</w:t>
            </w:r>
            <w:r>
              <w:rPr>
                <w:rFonts w:hint="eastAsia" w:ascii="宋体" w:hAnsi="宋体" w:cs="宋体"/>
                <w:sz w:val="24"/>
                <w:szCs w:val="24"/>
                <w:lang w:val="en-US" w:eastAsia="zh-CN"/>
              </w:rPr>
              <w:t>9</w:t>
            </w:r>
            <w:r>
              <w:rPr>
                <w:rFonts w:hint="eastAsia" w:ascii="宋体" w:hAnsi="宋体" w:eastAsia="宋体" w:cs="宋体"/>
                <w:sz w:val="24"/>
                <w:szCs w:val="24"/>
              </w:rPr>
              <w:t>分。</w:t>
            </w:r>
          </w:p>
          <w:p w14:paraId="52A540C2">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sz w:val="24"/>
                <w:szCs w:val="24"/>
              </w:rPr>
              <w:t>“内容缺陷”是指：方案阐述的内容仅罗列了上述要点，没有进行相应的说明、缺少具体的实施措施，方案内容有明显缺失、描述内容不规范、不清晰、不具备可行性等情况。</w:t>
            </w:r>
          </w:p>
          <w:p w14:paraId="3A1302D6">
            <w:pPr>
              <w:keepNext w:val="0"/>
              <w:keepLines w:val="0"/>
              <w:pageBreakBefore w:val="0"/>
              <w:widowControl/>
              <w:suppressLineNumbers w:val="0"/>
              <w:kinsoku/>
              <w:wordWrap/>
              <w:overflowPunct/>
              <w:topLinePunct w:val="0"/>
              <w:autoSpaceDE/>
              <w:autoSpaceDN/>
              <w:bidi w:val="0"/>
              <w:spacing w:line="440" w:lineRule="exact"/>
              <w:ind w:left="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lang w:val="en-US" w:eastAsia="zh-CN" w:bidi="ar"/>
              </w:rPr>
              <w:t>评审依据：提供项目实施方案并加盖供应商公章，未提供不得分。</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22D4C2E4">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分</w:t>
            </w:r>
          </w:p>
        </w:tc>
      </w:tr>
      <w:tr w14:paraId="37D3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1A60180">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FF0000"/>
                <w:kern w:val="0"/>
                <w:sz w:val="24"/>
                <w:szCs w:val="24"/>
                <w:lang w:eastAsia="zh-CN"/>
              </w:rPr>
            </w:pPr>
            <w:r>
              <w:rPr>
                <w:rFonts w:hint="eastAsia" w:ascii="宋体" w:hAnsi="宋体" w:eastAsia="宋体" w:cs="宋体"/>
                <w:b/>
                <w:i w:val="0"/>
                <w:iCs w:val="0"/>
                <w:snapToGrid/>
                <w:color w:val="auto"/>
                <w:kern w:val="0"/>
                <w:sz w:val="24"/>
                <w:szCs w:val="24"/>
                <w:lang w:eastAsia="zh-CN"/>
              </w:rPr>
              <w:t>（三）商务部分（</w:t>
            </w:r>
            <w:r>
              <w:rPr>
                <w:rFonts w:hint="eastAsia" w:ascii="宋体" w:hAnsi="宋体" w:eastAsia="宋体" w:cs="宋体"/>
                <w:b/>
                <w:i w:val="0"/>
                <w:iCs w:val="0"/>
                <w:snapToGrid/>
                <w:color w:val="auto"/>
                <w:kern w:val="0"/>
                <w:sz w:val="24"/>
                <w:szCs w:val="24"/>
                <w:lang w:val="en-US" w:eastAsia="zh-CN"/>
              </w:rPr>
              <w:t>2</w:t>
            </w:r>
            <w:r>
              <w:rPr>
                <w:rFonts w:hint="eastAsia" w:ascii="宋体" w:hAnsi="宋体" w:cs="宋体"/>
                <w:b/>
                <w:i w:val="0"/>
                <w:iCs w:val="0"/>
                <w:snapToGrid/>
                <w:color w:val="auto"/>
                <w:kern w:val="0"/>
                <w:sz w:val="24"/>
                <w:szCs w:val="24"/>
                <w:lang w:val="en-US" w:eastAsia="zh-CN"/>
              </w:rPr>
              <w:t>1</w:t>
            </w:r>
            <w:r>
              <w:rPr>
                <w:rFonts w:hint="eastAsia" w:ascii="宋体" w:hAnsi="宋体" w:eastAsia="宋体" w:cs="宋体"/>
                <w:b/>
                <w:i w:val="0"/>
                <w:iCs w:val="0"/>
                <w:snapToGrid/>
                <w:color w:val="auto"/>
                <w:kern w:val="0"/>
                <w:sz w:val="24"/>
                <w:szCs w:val="24"/>
                <w:lang w:eastAsia="zh-CN"/>
              </w:rPr>
              <w:t>分）</w:t>
            </w:r>
          </w:p>
        </w:tc>
      </w:tr>
      <w:tr w14:paraId="0D2C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4D7BF69A">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评分点</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4BD9DD4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评审内容</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66C33982">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分值</w:t>
            </w:r>
          </w:p>
        </w:tc>
      </w:tr>
      <w:tr w14:paraId="5C11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3C55D12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Cs/>
                <w:i w:val="0"/>
                <w:iCs w:val="0"/>
                <w:snapToGrid/>
                <w:color w:val="000000"/>
                <w:kern w:val="0"/>
                <w:sz w:val="24"/>
                <w:szCs w:val="24"/>
                <w:lang w:val="en-US" w:eastAsia="zh-CN"/>
              </w:rPr>
              <w:t>商务符合性审查</w:t>
            </w:r>
          </w:p>
        </w:tc>
        <w:tc>
          <w:tcPr>
            <w:tcW w:w="4391" w:type="pct"/>
            <w:gridSpan w:val="2"/>
            <w:tcBorders>
              <w:top w:val="single" w:color="auto" w:sz="4" w:space="0"/>
              <w:left w:val="single" w:color="auto" w:sz="4" w:space="0"/>
              <w:bottom w:val="single" w:color="auto" w:sz="4" w:space="0"/>
              <w:right w:val="single" w:color="auto" w:sz="4" w:space="0"/>
            </w:tcBorders>
            <w:noWrap w:val="0"/>
            <w:vAlign w:val="top"/>
          </w:tcPr>
          <w:p w14:paraId="1D2AD2FD">
            <w:pPr>
              <w:keepNext w:val="0"/>
              <w:keepLines w:val="0"/>
              <w:pageBreakBefore w:val="0"/>
              <w:widowControl w:val="0"/>
              <w:tabs>
                <w:tab w:val="left" w:pos="327"/>
                <w:tab w:val="left" w:pos="720"/>
              </w:tabs>
              <w:kinsoku/>
              <w:wordWrap/>
              <w:overflowPunct/>
              <w:topLinePunct w:val="0"/>
              <w:autoSpaceDE/>
              <w:autoSpaceDN/>
              <w:bidi w:val="0"/>
              <w:adjustRightInd/>
              <w:snapToGrid/>
              <w:spacing w:line="440" w:lineRule="exact"/>
              <w:ind w:left="0" w:right="0" w:firstLine="0" w:firstLineChars="0"/>
              <w:jc w:val="left"/>
              <w:textAlignment w:val="auto"/>
              <w:rPr>
                <w:rFonts w:hint="eastAsia" w:ascii="宋体" w:hAnsi="宋体" w:eastAsia="宋体" w:cs="宋体"/>
                <w:i w:val="0"/>
                <w:iCs w:val="0"/>
                <w:snapToGrid/>
                <w:color w:val="000000"/>
                <w:kern w:val="2"/>
                <w:sz w:val="24"/>
                <w:szCs w:val="24"/>
                <w:lang w:eastAsia="zh-CN"/>
              </w:rPr>
            </w:pPr>
            <w:r>
              <w:rPr>
                <w:rFonts w:hint="eastAsia" w:ascii="宋体" w:hAnsi="宋体" w:eastAsia="宋体" w:cs="宋体"/>
                <w:i w:val="0"/>
                <w:iCs w:val="0"/>
                <w:snapToGrid/>
                <w:color w:val="000000"/>
                <w:kern w:val="2"/>
                <w:sz w:val="24"/>
                <w:szCs w:val="24"/>
                <w:lang w:val="en-US" w:eastAsia="zh-CN"/>
              </w:rPr>
              <w:t>供应商</w:t>
            </w:r>
            <w:r>
              <w:rPr>
                <w:rFonts w:hint="eastAsia" w:ascii="宋体" w:hAnsi="宋体" w:eastAsia="宋体" w:cs="宋体"/>
                <w:i w:val="0"/>
                <w:iCs w:val="0"/>
                <w:snapToGrid/>
                <w:color w:val="000000"/>
                <w:kern w:val="2"/>
                <w:sz w:val="24"/>
                <w:szCs w:val="24"/>
                <w:lang w:eastAsia="zh-CN"/>
              </w:rPr>
              <w:t>必须完全满足</w:t>
            </w:r>
            <w:r>
              <w:rPr>
                <w:rFonts w:hint="eastAsia" w:ascii="宋体" w:hAnsi="宋体" w:eastAsia="宋体" w:cs="宋体"/>
                <w:i w:val="0"/>
                <w:iCs w:val="0"/>
                <w:snapToGrid/>
                <w:color w:val="000000"/>
                <w:kern w:val="2"/>
                <w:sz w:val="24"/>
                <w:szCs w:val="24"/>
                <w:lang w:val="en-US" w:eastAsia="zh-CN"/>
              </w:rPr>
              <w:t>磋商</w:t>
            </w:r>
            <w:r>
              <w:rPr>
                <w:rFonts w:hint="eastAsia" w:ascii="宋体" w:hAnsi="宋体" w:eastAsia="宋体" w:cs="宋体"/>
                <w:i w:val="0"/>
                <w:iCs w:val="0"/>
                <w:snapToGrid/>
                <w:color w:val="000000"/>
                <w:kern w:val="2"/>
                <w:sz w:val="24"/>
                <w:szCs w:val="24"/>
                <w:lang w:eastAsia="zh-CN"/>
              </w:rPr>
              <w:t>文件第五章采购需求“商务要求”实质性条款，任意一项不满足作无效</w:t>
            </w:r>
            <w:r>
              <w:rPr>
                <w:rFonts w:hint="eastAsia" w:ascii="宋体" w:hAnsi="宋体" w:eastAsia="宋体" w:cs="宋体"/>
                <w:i w:val="0"/>
                <w:iCs w:val="0"/>
                <w:snapToGrid/>
                <w:color w:val="000000"/>
                <w:kern w:val="2"/>
                <w:sz w:val="24"/>
                <w:szCs w:val="24"/>
                <w:lang w:val="en-US" w:eastAsia="zh-CN"/>
              </w:rPr>
              <w:t>响应</w:t>
            </w:r>
            <w:r>
              <w:rPr>
                <w:rFonts w:hint="eastAsia" w:ascii="宋体" w:hAnsi="宋体" w:eastAsia="宋体" w:cs="宋体"/>
                <w:i w:val="0"/>
                <w:iCs w:val="0"/>
                <w:snapToGrid/>
                <w:color w:val="000000"/>
                <w:kern w:val="2"/>
                <w:sz w:val="24"/>
                <w:szCs w:val="24"/>
                <w:lang w:eastAsia="zh-CN"/>
              </w:rPr>
              <w:t>处理。</w:t>
            </w:r>
          </w:p>
          <w:p w14:paraId="7D9EB04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bidi="ar"/>
              </w:rPr>
              <w:t>评审依据：商务要求响应</w:t>
            </w:r>
            <w:r>
              <w:rPr>
                <w:rFonts w:hint="eastAsia" w:ascii="宋体" w:hAnsi="宋体" w:eastAsia="宋体" w:cs="宋体"/>
                <w:b/>
                <w:i w:val="0"/>
                <w:iCs w:val="0"/>
                <w:snapToGrid/>
                <w:color w:val="000000"/>
                <w:kern w:val="0"/>
                <w:sz w:val="24"/>
                <w:szCs w:val="24"/>
                <w:lang w:val="en-US" w:eastAsia="zh-CN" w:bidi="ar"/>
              </w:rPr>
              <w:t>/偏离</w:t>
            </w:r>
            <w:r>
              <w:rPr>
                <w:rFonts w:hint="eastAsia" w:ascii="宋体" w:hAnsi="宋体" w:eastAsia="宋体" w:cs="宋体"/>
                <w:b/>
                <w:i w:val="0"/>
                <w:iCs w:val="0"/>
                <w:snapToGrid/>
                <w:color w:val="000000"/>
                <w:kern w:val="0"/>
                <w:sz w:val="24"/>
                <w:szCs w:val="24"/>
                <w:lang w:eastAsia="zh-CN" w:bidi="ar"/>
              </w:rPr>
              <w:t>表。</w:t>
            </w:r>
          </w:p>
        </w:tc>
      </w:tr>
      <w:tr w14:paraId="7258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7BEF111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 w:val="0"/>
                <w:bCs/>
                <w:i w:val="0"/>
                <w:iCs w:val="0"/>
                <w:snapToGrid/>
                <w:color w:val="000000"/>
                <w:kern w:val="0"/>
                <w:sz w:val="24"/>
                <w:szCs w:val="24"/>
                <w:lang w:eastAsia="zh-CN"/>
              </w:rPr>
            </w:pPr>
            <w:r>
              <w:rPr>
                <w:rFonts w:hint="eastAsia" w:ascii="宋体" w:hAnsi="宋体" w:eastAsia="宋体" w:cs="宋体"/>
                <w:b w:val="0"/>
                <w:bCs/>
                <w:color w:val="000000"/>
                <w:sz w:val="24"/>
                <w:szCs w:val="24"/>
              </w:rPr>
              <w:t>业绩</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5119C04A">
            <w:pPr>
              <w:keepNext w:val="0"/>
              <w:keepLines w:val="0"/>
              <w:pageBreakBefore w:val="0"/>
              <w:suppressLineNumbers w:val="0"/>
              <w:kinsoku/>
              <w:wordWrap/>
              <w:overflowPunct/>
              <w:topLinePunct w:val="0"/>
              <w:autoSpaceDE/>
              <w:autoSpaceDN/>
              <w:bidi w:val="0"/>
              <w:spacing w:beforeAutospacing="0" w:after="0" w:afterAutospacing="0" w:line="440" w:lineRule="exact"/>
              <w:ind w:left="0" w:right="0" w:firstLine="0" w:firstLineChars="0"/>
              <w:jc w:val="lef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自</w:t>
            </w:r>
            <w:r>
              <w:rPr>
                <w:rFonts w:hint="eastAsia" w:ascii="宋体" w:hAnsi="宋体" w:eastAsia="宋体" w:cs="宋体"/>
                <w:color w:val="000000"/>
                <w:sz w:val="24"/>
                <w:szCs w:val="24"/>
                <w:u w:val="none"/>
              </w:rPr>
              <w:t>20</w:t>
            </w:r>
            <w:r>
              <w:rPr>
                <w:rFonts w:hint="eastAsia" w:ascii="宋体" w:hAnsi="宋体" w:eastAsia="宋体" w:cs="宋体"/>
                <w:color w:val="000000"/>
                <w:sz w:val="24"/>
                <w:szCs w:val="24"/>
                <w:u w:val="none"/>
                <w:lang w:val="en-US" w:eastAsia="zh-CN"/>
              </w:rPr>
              <w:t>22</w:t>
            </w:r>
            <w:r>
              <w:rPr>
                <w:rFonts w:hint="eastAsia" w:ascii="宋体" w:hAnsi="宋体" w:eastAsia="宋体" w:cs="宋体"/>
                <w:color w:val="000000"/>
                <w:sz w:val="24"/>
                <w:szCs w:val="24"/>
                <w:u w:val="none"/>
              </w:rPr>
              <w:t>年1月1日起</w:t>
            </w:r>
            <w:r>
              <w:rPr>
                <w:rFonts w:hint="eastAsia" w:ascii="宋体" w:hAnsi="宋体" w:eastAsia="宋体" w:cs="宋体"/>
                <w:color w:val="000000"/>
                <w:sz w:val="24"/>
                <w:szCs w:val="24"/>
              </w:rPr>
              <w:t>（以合同签订时间为准）具有</w:t>
            </w:r>
            <w:r>
              <w:rPr>
                <w:rFonts w:hint="eastAsia" w:ascii="宋体" w:hAnsi="宋体" w:eastAsia="宋体" w:cs="宋体"/>
                <w:color w:val="000000"/>
                <w:kern w:val="0"/>
                <w:sz w:val="24"/>
                <w:szCs w:val="24"/>
                <w:lang w:eastAsia="zh-CN"/>
              </w:rPr>
              <w:t>同类业绩（</w:t>
            </w:r>
            <w:r>
              <w:rPr>
                <w:rFonts w:hint="eastAsia" w:ascii="宋体" w:hAnsi="宋体" w:eastAsia="宋体" w:cs="宋体"/>
                <w:color w:val="000000"/>
                <w:kern w:val="0"/>
                <w:sz w:val="24"/>
                <w:szCs w:val="24"/>
                <w:lang w:val="en-US" w:eastAsia="zh-CN"/>
              </w:rPr>
              <w:t>题库建设</w:t>
            </w: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，每提供1份得</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分，最多得</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rPr>
              <w:t>分</w:t>
            </w:r>
            <w:r>
              <w:rPr>
                <w:rFonts w:hint="eastAsia" w:ascii="宋体" w:hAnsi="宋体" w:eastAsia="宋体" w:cs="宋体"/>
                <w:color w:val="000000"/>
                <w:sz w:val="24"/>
                <w:szCs w:val="24"/>
              </w:rPr>
              <w:t>。</w:t>
            </w:r>
          </w:p>
          <w:p w14:paraId="754E0B07">
            <w:pPr>
              <w:keepNext w:val="0"/>
              <w:keepLines w:val="0"/>
              <w:pageBreakBefore w:val="0"/>
              <w:suppressLineNumbers w:val="0"/>
              <w:kinsoku/>
              <w:wordWrap/>
              <w:overflowPunct/>
              <w:topLinePunct w:val="0"/>
              <w:autoSpaceDE/>
              <w:autoSpaceDN/>
              <w:bidi w:val="0"/>
              <w:spacing w:beforeAutospacing="0" w:after="0" w:afterAutospacing="0" w:line="440" w:lineRule="exact"/>
              <w:ind w:left="0" w:leftChars="0" w:right="0" w:rightChars="0" w:firstLine="0" w:firstLineChars="0"/>
              <w:jc w:val="left"/>
              <w:textAlignment w:val="auto"/>
              <w:rPr>
                <w:rFonts w:hint="eastAsia" w:ascii="宋体" w:hAnsi="宋体" w:eastAsia="宋体" w:cs="宋体"/>
                <w:i w:val="0"/>
                <w:iCs w:val="0"/>
                <w:snapToGrid/>
                <w:color w:val="000000"/>
                <w:kern w:val="2"/>
                <w:sz w:val="24"/>
                <w:szCs w:val="24"/>
                <w:lang w:eastAsia="zh-CN"/>
              </w:rPr>
            </w:pPr>
            <w:r>
              <w:rPr>
                <w:rFonts w:hint="eastAsia" w:ascii="宋体" w:hAnsi="宋体" w:eastAsia="宋体" w:cs="宋体"/>
                <w:b/>
                <w:bCs/>
                <w:color w:val="000000"/>
                <w:sz w:val="24"/>
                <w:szCs w:val="24"/>
                <w:lang w:val="en-US"/>
              </w:rPr>
              <w:t>评审依据：供应商在响应文件中提供合同或中标（成交）通知书</w:t>
            </w:r>
            <w:r>
              <w:rPr>
                <w:rFonts w:hint="eastAsia" w:ascii="宋体" w:hAnsi="宋体" w:eastAsia="宋体" w:cs="宋体"/>
                <w:b/>
                <w:bCs/>
                <w:color w:val="000000"/>
                <w:sz w:val="24"/>
                <w:szCs w:val="24"/>
                <w:lang w:val="en-US" w:eastAsia="zh-CN"/>
              </w:rPr>
              <w:t>复印件</w:t>
            </w:r>
            <w:r>
              <w:rPr>
                <w:rFonts w:hint="eastAsia" w:ascii="宋体" w:hAnsi="宋体" w:eastAsia="宋体" w:cs="宋体"/>
                <w:b/>
                <w:bCs/>
                <w:color w:val="000000"/>
                <w:sz w:val="24"/>
                <w:szCs w:val="24"/>
                <w:lang w:val="en-US"/>
              </w:rPr>
              <w:t>。</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088DF515">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分</w:t>
            </w:r>
          </w:p>
        </w:tc>
      </w:tr>
      <w:tr w14:paraId="3863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2172359F">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 w:val="0"/>
                <w:bCs/>
                <w:i w:val="0"/>
                <w:iCs w:val="0"/>
                <w:snapToGrid/>
                <w:color w:val="auto"/>
                <w:kern w:val="0"/>
                <w:sz w:val="24"/>
                <w:szCs w:val="24"/>
                <w:lang w:eastAsia="zh-CN"/>
              </w:rPr>
            </w:pPr>
            <w:r>
              <w:rPr>
                <w:rFonts w:hint="eastAsia" w:ascii="宋体" w:hAnsi="宋体" w:eastAsia="宋体" w:cs="宋体"/>
                <w:b w:val="0"/>
                <w:bCs/>
                <w:color w:val="000000"/>
                <w:sz w:val="24"/>
                <w:szCs w:val="24"/>
                <w:lang w:val="en-US" w:eastAsia="zh-CN"/>
              </w:rPr>
              <w:t>运行维护期</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43A7D20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满足磋商文件基本</w:t>
            </w:r>
            <w:r>
              <w:rPr>
                <w:rFonts w:hint="eastAsia" w:ascii="宋体" w:hAnsi="宋体" w:eastAsia="宋体" w:cs="宋体"/>
                <w:snapToGrid w:val="0"/>
                <w:color w:val="auto"/>
                <w:kern w:val="0"/>
                <w:sz w:val="24"/>
                <w:szCs w:val="24"/>
                <w:highlight w:val="none"/>
                <w:lang w:val="en-US" w:eastAsia="zh-CN" w:bidi="ar-SA"/>
              </w:rPr>
              <w:t>运行维护期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12个月</w:t>
            </w:r>
            <w:r>
              <w:rPr>
                <w:rFonts w:hint="eastAsia" w:ascii="宋体" w:hAnsi="宋体" w:eastAsia="宋体" w:cs="宋体"/>
                <w:color w:val="auto"/>
                <w:sz w:val="24"/>
                <w:szCs w:val="24"/>
                <w:highlight w:val="none"/>
              </w:rPr>
              <w:t>）的基础上，</w:t>
            </w:r>
            <w:r>
              <w:rPr>
                <w:rFonts w:hint="eastAsia" w:ascii="宋体" w:hAnsi="宋体" w:eastAsia="宋体" w:cs="宋体"/>
                <w:snapToGrid w:val="0"/>
                <w:color w:val="auto"/>
                <w:kern w:val="0"/>
                <w:sz w:val="24"/>
                <w:szCs w:val="24"/>
                <w:highlight w:val="none"/>
                <w:lang w:val="en-US" w:eastAsia="zh-CN" w:bidi="ar-SA"/>
              </w:rPr>
              <w:t>运行维护期</w:t>
            </w:r>
            <w:r>
              <w:rPr>
                <w:rFonts w:hint="eastAsia" w:ascii="宋体" w:hAnsi="宋体" w:cs="宋体"/>
                <w:snapToGrid w:val="0"/>
                <w:color w:val="auto"/>
                <w:kern w:val="0"/>
                <w:sz w:val="24"/>
                <w:szCs w:val="24"/>
                <w:highlight w:val="none"/>
                <w:lang w:val="en-US" w:eastAsia="zh-CN" w:bidi="ar-SA"/>
              </w:rPr>
              <w:t>每</w:t>
            </w:r>
            <w:r>
              <w:rPr>
                <w:rFonts w:hint="eastAsia" w:ascii="宋体" w:hAnsi="宋体" w:eastAsia="宋体" w:cs="宋体"/>
                <w:color w:val="auto"/>
                <w:sz w:val="24"/>
                <w:szCs w:val="24"/>
                <w:highlight w:val="none"/>
              </w:rPr>
              <w:t>延长6个月</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最高可得5分</w:t>
            </w:r>
            <w:r>
              <w:rPr>
                <w:rFonts w:hint="eastAsia" w:ascii="宋体" w:hAnsi="宋体" w:eastAsia="宋体" w:cs="宋体"/>
                <w:color w:val="auto"/>
                <w:sz w:val="24"/>
                <w:szCs w:val="24"/>
                <w:highlight w:val="none"/>
              </w:rPr>
              <w:t>。</w:t>
            </w:r>
          </w:p>
          <w:p w14:paraId="67CDA4C8">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评审依据：供应商在响应文件中提供承诺函佐证，格式自拟，未提供不</w:t>
            </w:r>
            <w:r>
              <w:rPr>
                <w:rFonts w:hint="eastAsia" w:ascii="宋体" w:hAnsi="宋体" w:eastAsia="宋体" w:cs="宋体"/>
                <w:color w:val="auto"/>
                <w:kern w:val="0"/>
                <w:sz w:val="24"/>
                <w:szCs w:val="24"/>
                <w:highlight w:val="none"/>
              </w:rPr>
              <w:t>得</w:t>
            </w:r>
            <w:r>
              <w:rPr>
                <w:rFonts w:hint="eastAsia" w:ascii="宋体" w:hAnsi="宋体" w:eastAsia="宋体" w:cs="宋体"/>
                <w:b/>
                <w:bCs/>
                <w:color w:val="auto"/>
                <w:sz w:val="24"/>
                <w:szCs w:val="24"/>
                <w:highlight w:val="none"/>
              </w:rPr>
              <w:t>分。</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7979C723">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B88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5DCBBD21">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 w:val="0"/>
                <w:bCs/>
                <w:i w:val="0"/>
                <w:iCs w:val="0"/>
                <w:snapToGrid/>
                <w:color w:val="auto"/>
                <w:kern w:val="0"/>
                <w:sz w:val="24"/>
                <w:szCs w:val="24"/>
                <w:lang w:eastAsia="zh-CN"/>
              </w:rPr>
            </w:pPr>
            <w:r>
              <w:rPr>
                <w:rFonts w:hint="eastAsia" w:ascii="宋体" w:hAnsi="宋体" w:eastAsia="宋体" w:cs="宋体"/>
                <w:b w:val="0"/>
                <w:bCs/>
                <w:color w:val="000000"/>
                <w:sz w:val="24"/>
                <w:szCs w:val="24"/>
                <w:lang w:val="en-US" w:eastAsia="zh-CN"/>
              </w:rPr>
              <w:t>售后服务方案</w:t>
            </w:r>
          </w:p>
        </w:tc>
        <w:tc>
          <w:tcPr>
            <w:tcW w:w="3884" w:type="pct"/>
            <w:tcBorders>
              <w:top w:val="single" w:color="auto" w:sz="4" w:space="0"/>
              <w:left w:val="single" w:color="auto" w:sz="4" w:space="0"/>
              <w:bottom w:val="single" w:color="auto" w:sz="4" w:space="0"/>
              <w:right w:val="single" w:color="auto" w:sz="4" w:space="0"/>
            </w:tcBorders>
            <w:noWrap w:val="0"/>
            <w:vAlign w:val="center"/>
          </w:tcPr>
          <w:p w14:paraId="437830FF">
            <w:pPr>
              <w:pStyle w:val="8"/>
              <w:keepNext w:val="0"/>
              <w:keepLines w:val="0"/>
              <w:pageBreakBefore w:val="0"/>
              <w:kinsoku/>
              <w:wordWrap/>
              <w:overflowPunct/>
              <w:topLinePunct w:val="0"/>
              <w:autoSpaceDE/>
              <w:autoSpaceDN/>
              <w:bidi w:val="0"/>
              <w:spacing w:line="440" w:lineRule="exact"/>
              <w:ind w:left="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根据本项目特点和实际需求制定售后服务方案，包含但不限于以下内容：（1）</w:t>
            </w:r>
            <w:r>
              <w:rPr>
                <w:rFonts w:hint="eastAsia" w:ascii="宋体" w:hAnsi="宋体" w:eastAsia="宋体" w:cs="宋体"/>
                <w:color w:val="auto"/>
                <w:sz w:val="24"/>
                <w:szCs w:val="24"/>
                <w:highlight w:val="none"/>
              </w:rPr>
              <w:t>售后服务内容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w:t>
            </w:r>
            <w:r>
              <w:rPr>
                <w:rFonts w:hint="eastAsia" w:ascii="宋体" w:hAnsi="宋体" w:eastAsia="宋体" w:cs="宋体"/>
                <w:color w:val="auto"/>
                <w:sz w:val="24"/>
                <w:szCs w:val="24"/>
                <w:highlight w:val="none"/>
              </w:rPr>
              <w:t>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系统培训方案（4）服务承诺</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p>
          <w:p w14:paraId="15C06CF5">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每有一项内容完全符合本项目采购需求的，该项内容得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分；每有一项内容存在缺陷的，该项内容得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分；每缺一项内容的，该项内容不得分；最高得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7866E889">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“内容缺陷”是指：方案阐述的内容仅罗列了上述要点，没有进行相应的说明、缺少具体的实施措施，方案内容有明显缺失、描述内容不规范、不清晰、不具备可行性等情况。</w:t>
            </w:r>
          </w:p>
          <w:p w14:paraId="244125C7">
            <w:pPr>
              <w:keepNext w:val="0"/>
              <w:keepLines w:val="0"/>
              <w:pageBreakBefore w:val="0"/>
              <w:widowControl/>
              <w:suppressLineNumbers w:val="0"/>
              <w:kinsoku/>
              <w:wordWrap/>
              <w:overflowPunct/>
              <w:topLinePunct w:val="0"/>
              <w:autoSpaceDE/>
              <w:autoSpaceDN/>
              <w:bidi w:val="0"/>
              <w:spacing w:line="440" w:lineRule="exact"/>
              <w:ind w:left="0"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评审依据：提供售后服务方案并加盖供应商公章，未提供不得分。</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2AD5ABAD">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440" w:lineRule="exact"/>
              <w:ind w:left="0" w:leftChars="0" w:right="0" w:rightChars="0" w:firstLine="0" w:firstLineChars="0"/>
              <w:jc w:val="center"/>
              <w:textAlignment w:val="auto"/>
              <w:rPr>
                <w:rFonts w:hint="eastAsia" w:ascii="宋体" w:hAnsi="宋体" w:eastAsia="宋体" w:cs="宋体"/>
                <w:bCs/>
                <w:i w:val="0"/>
                <w:iCs w:val="0"/>
                <w:snapToGrid/>
                <w:color w:val="auto"/>
                <w:kern w:val="0"/>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r>
    </w:tbl>
    <w:p w14:paraId="6E7B4081">
      <w:pPr>
        <w:widowControl w:val="0"/>
        <w:spacing w:line="460" w:lineRule="exact"/>
        <w:rPr>
          <w:rFonts w:ascii="宋体" w:hAnsi="宋体"/>
          <w:b w:val="0"/>
          <w:bCs w:val="0"/>
          <w:lang w:eastAsia="zh-CN"/>
        </w:rPr>
      </w:pPr>
    </w:p>
    <w:sectPr>
      <w:headerReference r:id="rId3" w:type="default"/>
      <w:footerReference r:id="rId4" w:type="default"/>
      <w:pgSz w:w="11906" w:h="16839"/>
      <w:pgMar w:top="1234" w:right="1304" w:bottom="1156" w:left="1307"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45190BC-5A6C-41CD-A3D5-CCFF6314958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FAEAB58-C94C-481B-A366-BC5DD6F01F67}"/>
  </w:font>
  <w:font w:name="微软雅黑">
    <w:panose1 w:val="020B0503020204020204"/>
    <w:charset w:val="86"/>
    <w:family w:val="swiss"/>
    <w:pitch w:val="default"/>
    <w:sig w:usb0="80000287" w:usb1="2ACF3C50" w:usb2="00000016" w:usb3="00000000" w:csb0="0004001F" w:csb1="00000000"/>
    <w:embedRegular r:id="rId3" w:fontKey="{3A8A7EDE-12E0-46CF-A06F-4718755DDE13}"/>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96837634-7DA8-4526-8694-3D4C9236102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5B74">
    <w:pPr>
      <w:pStyle w:val="14"/>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056A71">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3.75pt;height:144pt;width:144pt;mso-position-horizontal:center;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L+M31AAAAAcBAAAPAAAAAAAAAAEAIAAAACIAAABk&#10;cnMvZG93bnJldi54bWxQSwECFAAUAAAACACHTuJAoOeOb9EBAACiAwAADgAAAAAAAAABACAAAAAj&#10;AQAAZHJzL2Uyb0RvYy54bWxQSwUGAAAAAAYABgBZAQAAZgUAAAAA&#10;">
              <v:fill on="f" focussize="0,0"/>
              <v:stroke on="f" weight="0.5pt"/>
              <v:imagedata o:title=""/>
              <o:lock v:ext="edit" aspectratio="f"/>
              <v:textbox inset="0mm,0mm,0mm,0mm" style="mso-fit-shape-to-text:t;">
                <w:txbxContent>
                  <w:p w14:paraId="21056A71">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8B5F">
    <w:pPr>
      <w:pStyle w:val="15"/>
      <w:pBdr>
        <w:bottom w:val="none" w:color="auto" w:sz="0" w:space="3"/>
      </w:pBdr>
      <w:spacing w:line="360" w:lineRule="atLea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518EE"/>
    <w:multiLevelType w:val="multilevel"/>
    <w:tmpl w:val="B4F518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1536EB5"/>
    <w:multiLevelType w:val="multilevel"/>
    <w:tmpl w:val="D1536EB5"/>
    <w:lvl w:ilvl="0" w:tentative="0">
      <w:start w:val="2"/>
      <w:numFmt w:val="decimal"/>
      <w:lvlText w:val="%1"/>
      <w:lvlJc w:val="left"/>
      <w:pPr>
        <w:ind w:left="525" w:hanging="525"/>
      </w:pPr>
      <w:rPr>
        <w:rFonts w:hint="default" w:cs="宋体"/>
        <w:color w:val="auto"/>
      </w:rPr>
    </w:lvl>
    <w:lvl w:ilvl="1" w:tentative="0">
      <w:start w:val="2"/>
      <w:numFmt w:val="decimal"/>
      <w:lvlText w:val="%1.%2"/>
      <w:lvlJc w:val="left"/>
      <w:pPr>
        <w:ind w:left="525" w:hanging="525"/>
      </w:pPr>
      <w:rPr>
        <w:rFonts w:hint="default" w:cs="宋体"/>
        <w:color w:val="auto"/>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cs="宋体"/>
        <w:color w:val="auto"/>
      </w:rPr>
    </w:lvl>
    <w:lvl w:ilvl="4" w:tentative="0">
      <w:start w:val="1"/>
      <w:numFmt w:val="decimal"/>
      <w:lvlText w:val="%1.%2.%3.%4.%5"/>
      <w:lvlJc w:val="left"/>
      <w:pPr>
        <w:ind w:left="1080" w:hanging="1080"/>
      </w:pPr>
      <w:rPr>
        <w:rFonts w:hint="default" w:cs="宋体"/>
        <w:color w:val="auto"/>
      </w:rPr>
    </w:lvl>
    <w:lvl w:ilvl="5" w:tentative="0">
      <w:start w:val="1"/>
      <w:numFmt w:val="decimal"/>
      <w:lvlText w:val="%1.%2.%3.%4.%5.%6"/>
      <w:lvlJc w:val="left"/>
      <w:pPr>
        <w:ind w:left="1440" w:hanging="1440"/>
      </w:pPr>
      <w:rPr>
        <w:rFonts w:hint="default" w:cs="宋体"/>
        <w:color w:val="auto"/>
      </w:rPr>
    </w:lvl>
    <w:lvl w:ilvl="6" w:tentative="0">
      <w:start w:val="1"/>
      <w:numFmt w:val="decimal"/>
      <w:lvlText w:val="%1.%2.%3.%4.%5.%6.%7"/>
      <w:lvlJc w:val="left"/>
      <w:pPr>
        <w:ind w:left="1440" w:hanging="1440"/>
      </w:pPr>
      <w:rPr>
        <w:rFonts w:hint="default" w:cs="宋体"/>
        <w:color w:val="auto"/>
      </w:rPr>
    </w:lvl>
    <w:lvl w:ilvl="7" w:tentative="0">
      <w:start w:val="1"/>
      <w:numFmt w:val="decimal"/>
      <w:lvlText w:val="%1.%2.%3.%4.%5.%6.%7.%8"/>
      <w:lvlJc w:val="left"/>
      <w:pPr>
        <w:ind w:left="1800" w:hanging="1800"/>
      </w:pPr>
      <w:rPr>
        <w:rFonts w:hint="default" w:cs="宋体"/>
        <w:color w:val="auto"/>
      </w:rPr>
    </w:lvl>
    <w:lvl w:ilvl="8" w:tentative="0">
      <w:start w:val="1"/>
      <w:numFmt w:val="decimal"/>
      <w:lvlText w:val="%1.%2.%3.%4.%5.%6.%7.%8.%9"/>
      <w:lvlJc w:val="left"/>
      <w:pPr>
        <w:ind w:left="1800" w:hanging="1800"/>
      </w:pPr>
      <w:rPr>
        <w:rFonts w:hint="default" w:cs="宋体"/>
        <w:color w:val="auto"/>
      </w:rPr>
    </w:lvl>
  </w:abstractNum>
  <w:abstractNum w:abstractNumId="2">
    <w:nsid w:val="DFE2D879"/>
    <w:multiLevelType w:val="multilevel"/>
    <w:tmpl w:val="DFE2D879"/>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159420B"/>
    <w:multiLevelType w:val="singleLevel"/>
    <w:tmpl w:val="E159420B"/>
    <w:lvl w:ilvl="0" w:tentative="0">
      <w:start w:val="1"/>
      <w:numFmt w:val="decimal"/>
      <w:lvlText w:val="%1)"/>
      <w:lvlJc w:val="left"/>
      <w:pPr>
        <w:ind w:left="425" w:hanging="425"/>
      </w:pPr>
      <w:rPr>
        <w:rFonts w:hint="default"/>
      </w:rPr>
    </w:lvl>
  </w:abstractNum>
  <w:abstractNum w:abstractNumId="4">
    <w:nsid w:val="EA8D1998"/>
    <w:multiLevelType w:val="multilevel"/>
    <w:tmpl w:val="EA8D19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B9C7545"/>
    <w:multiLevelType w:val="singleLevel"/>
    <w:tmpl w:val="EB9C7545"/>
    <w:lvl w:ilvl="0" w:tentative="0">
      <w:start w:val="1"/>
      <w:numFmt w:val="decimal"/>
      <w:lvlText w:val="%1)"/>
      <w:lvlJc w:val="left"/>
      <w:pPr>
        <w:ind w:left="425" w:hanging="425"/>
      </w:pPr>
      <w:rPr>
        <w:rFonts w:hint="default"/>
      </w:rPr>
    </w:lvl>
  </w:abstractNum>
  <w:abstractNum w:abstractNumId="6">
    <w:nsid w:val="F1C65B0A"/>
    <w:multiLevelType w:val="singleLevel"/>
    <w:tmpl w:val="F1C65B0A"/>
    <w:lvl w:ilvl="0" w:tentative="0">
      <w:start w:val="1"/>
      <w:numFmt w:val="decimal"/>
      <w:lvlText w:val="%1)"/>
      <w:lvlJc w:val="left"/>
      <w:pPr>
        <w:ind w:left="425" w:hanging="425"/>
      </w:pPr>
      <w:rPr>
        <w:rFonts w:hint="default"/>
      </w:rPr>
    </w:lvl>
  </w:abstractNum>
  <w:abstractNum w:abstractNumId="7">
    <w:nsid w:val="F4200C60"/>
    <w:multiLevelType w:val="multilevel"/>
    <w:tmpl w:val="F4200C60"/>
    <w:lvl w:ilvl="0" w:tentative="0">
      <w:start w:val="2"/>
      <w:numFmt w:val="decimal"/>
      <w:lvlText w:val="%1"/>
      <w:lvlJc w:val="left"/>
      <w:pPr>
        <w:ind w:left="525" w:hanging="525"/>
      </w:pPr>
      <w:rPr>
        <w:rFonts w:hint="default" w:cs="宋体"/>
        <w:color w:val="auto"/>
      </w:rPr>
    </w:lvl>
    <w:lvl w:ilvl="1" w:tentative="0">
      <w:start w:val="2"/>
      <w:numFmt w:val="decimal"/>
      <w:lvlText w:val="%1.%2"/>
      <w:lvlJc w:val="left"/>
      <w:pPr>
        <w:ind w:left="525" w:hanging="525"/>
      </w:pPr>
      <w:rPr>
        <w:rFonts w:hint="default" w:cs="宋体"/>
        <w:color w:val="auto"/>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cs="宋体"/>
        <w:color w:val="auto"/>
      </w:rPr>
    </w:lvl>
    <w:lvl w:ilvl="4" w:tentative="0">
      <w:start w:val="1"/>
      <w:numFmt w:val="decimal"/>
      <w:lvlText w:val="%1.%2.%3.%4.%5"/>
      <w:lvlJc w:val="left"/>
      <w:pPr>
        <w:ind w:left="1080" w:hanging="1080"/>
      </w:pPr>
      <w:rPr>
        <w:rFonts w:hint="default" w:cs="宋体"/>
        <w:color w:val="auto"/>
      </w:rPr>
    </w:lvl>
    <w:lvl w:ilvl="5" w:tentative="0">
      <w:start w:val="1"/>
      <w:numFmt w:val="decimal"/>
      <w:lvlText w:val="%1.%2.%3.%4.%5.%6"/>
      <w:lvlJc w:val="left"/>
      <w:pPr>
        <w:ind w:left="1440" w:hanging="1440"/>
      </w:pPr>
      <w:rPr>
        <w:rFonts w:hint="default" w:cs="宋体"/>
        <w:color w:val="auto"/>
      </w:rPr>
    </w:lvl>
    <w:lvl w:ilvl="6" w:tentative="0">
      <w:start w:val="1"/>
      <w:numFmt w:val="decimal"/>
      <w:lvlText w:val="%1.%2.%3.%4.%5.%6.%7"/>
      <w:lvlJc w:val="left"/>
      <w:pPr>
        <w:ind w:left="1440" w:hanging="1440"/>
      </w:pPr>
      <w:rPr>
        <w:rFonts w:hint="default" w:cs="宋体"/>
        <w:color w:val="auto"/>
      </w:rPr>
    </w:lvl>
    <w:lvl w:ilvl="7" w:tentative="0">
      <w:start w:val="1"/>
      <w:numFmt w:val="decimal"/>
      <w:lvlText w:val="%1.%2.%3.%4.%5.%6.%7.%8"/>
      <w:lvlJc w:val="left"/>
      <w:pPr>
        <w:ind w:left="1800" w:hanging="1800"/>
      </w:pPr>
      <w:rPr>
        <w:rFonts w:hint="default" w:cs="宋体"/>
        <w:color w:val="auto"/>
      </w:rPr>
    </w:lvl>
    <w:lvl w:ilvl="8" w:tentative="0">
      <w:start w:val="1"/>
      <w:numFmt w:val="decimal"/>
      <w:lvlText w:val="%1.%2.%3.%4.%5.%6.%7.%8.%9"/>
      <w:lvlJc w:val="left"/>
      <w:pPr>
        <w:ind w:left="1800" w:hanging="1800"/>
      </w:pPr>
      <w:rPr>
        <w:rFonts w:hint="default" w:cs="宋体"/>
        <w:color w:val="auto"/>
      </w:rPr>
    </w:lvl>
  </w:abstractNum>
  <w:abstractNum w:abstractNumId="8">
    <w:nsid w:val="FF13CC05"/>
    <w:multiLevelType w:val="singleLevel"/>
    <w:tmpl w:val="FF13CC05"/>
    <w:lvl w:ilvl="0" w:tentative="0">
      <w:start w:val="1"/>
      <w:numFmt w:val="decimal"/>
      <w:suff w:val="nothing"/>
      <w:lvlText w:val="(%1)"/>
      <w:lvlJc w:val="left"/>
      <w:pPr>
        <w:ind w:left="845" w:hanging="425"/>
      </w:pPr>
      <w:rPr>
        <w:rFonts w:hint="default"/>
      </w:rPr>
    </w:lvl>
  </w:abstractNum>
  <w:abstractNum w:abstractNumId="9">
    <w:nsid w:val="10CE7219"/>
    <w:multiLevelType w:val="multilevel"/>
    <w:tmpl w:val="10CE72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A54C38"/>
    <w:multiLevelType w:val="multilevel"/>
    <w:tmpl w:val="16A54C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D9E74B"/>
    <w:multiLevelType w:val="singleLevel"/>
    <w:tmpl w:val="3CD9E74B"/>
    <w:lvl w:ilvl="0" w:tentative="0">
      <w:start w:val="5"/>
      <w:numFmt w:val="chineseCounting"/>
      <w:suff w:val="nothing"/>
      <w:lvlText w:val="%1、"/>
      <w:lvlJc w:val="left"/>
      <w:rPr>
        <w:rFonts w:hint="eastAsia"/>
      </w:rPr>
    </w:lvl>
  </w:abstractNum>
  <w:abstractNum w:abstractNumId="12">
    <w:nsid w:val="7362517A"/>
    <w:multiLevelType w:val="multilevel"/>
    <w:tmpl w:val="736251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971D62"/>
    <w:multiLevelType w:val="multilevel"/>
    <w:tmpl w:val="78971D62"/>
    <w:lvl w:ilvl="0" w:tentative="0">
      <w:start w:val="1"/>
      <w:numFmt w:val="decimal"/>
      <w:lvlText w:val="%1."/>
      <w:lvlJc w:val="left"/>
      <w:pPr>
        <w:ind w:left="420" w:hanging="420"/>
      </w:pPr>
      <w:rPr>
        <w:rFonts w:hint="default"/>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DC8525D"/>
    <w:multiLevelType w:val="singleLevel"/>
    <w:tmpl w:val="7DC8525D"/>
    <w:lvl w:ilvl="0" w:tentative="0">
      <w:start w:val="1"/>
      <w:numFmt w:val="decimal"/>
      <w:lvlText w:val="%1)"/>
      <w:lvlJc w:val="left"/>
      <w:pPr>
        <w:ind w:left="425" w:hanging="425"/>
      </w:pPr>
      <w:rPr>
        <w:rFonts w:hint="default"/>
      </w:rPr>
    </w:lvl>
  </w:abstractNum>
  <w:num w:numId="1">
    <w:abstractNumId w:val="6"/>
  </w:num>
  <w:num w:numId="2">
    <w:abstractNumId w:val="14"/>
  </w:num>
  <w:num w:numId="3">
    <w:abstractNumId w:val="3"/>
  </w:num>
  <w:num w:numId="4">
    <w:abstractNumId w:val="2"/>
  </w:num>
  <w:num w:numId="5">
    <w:abstractNumId w:val="7"/>
  </w:num>
  <w:num w:numId="6">
    <w:abstractNumId w:val="1"/>
  </w:num>
  <w:num w:numId="7">
    <w:abstractNumId w:val="9"/>
  </w:num>
  <w:num w:numId="8">
    <w:abstractNumId w:val="13"/>
  </w:num>
  <w:num w:numId="9">
    <w:abstractNumId w:val="12"/>
  </w:num>
  <w:num w:numId="10">
    <w:abstractNumId w:val="4"/>
  </w:num>
  <w:num w:numId="11">
    <w:abstractNumId w:val="5"/>
  </w:num>
  <w:num w:numId="12">
    <w:abstractNumId w:val="10"/>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2"/>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Dg0MjVjY2E5NDFiN2QyZDQ2OWQzODFmOGI4YzMifQ=="/>
  </w:docVars>
  <w:rsids>
    <w:rsidRoot w:val="00F72BE7"/>
    <w:rsid w:val="002E00F2"/>
    <w:rsid w:val="0031198B"/>
    <w:rsid w:val="00412A37"/>
    <w:rsid w:val="006308AB"/>
    <w:rsid w:val="00847DE1"/>
    <w:rsid w:val="008A4B90"/>
    <w:rsid w:val="00B54D17"/>
    <w:rsid w:val="00CD47AB"/>
    <w:rsid w:val="00D4409B"/>
    <w:rsid w:val="00D6521D"/>
    <w:rsid w:val="00E0031B"/>
    <w:rsid w:val="00F72BE7"/>
    <w:rsid w:val="0137560B"/>
    <w:rsid w:val="013D404E"/>
    <w:rsid w:val="014707D5"/>
    <w:rsid w:val="01490617"/>
    <w:rsid w:val="0183453D"/>
    <w:rsid w:val="01D91333"/>
    <w:rsid w:val="01F176F8"/>
    <w:rsid w:val="01F62F61"/>
    <w:rsid w:val="0217465E"/>
    <w:rsid w:val="02AE5C3D"/>
    <w:rsid w:val="02C95F7F"/>
    <w:rsid w:val="02F62DEB"/>
    <w:rsid w:val="030845DC"/>
    <w:rsid w:val="03A14F29"/>
    <w:rsid w:val="044D1E30"/>
    <w:rsid w:val="048A4E69"/>
    <w:rsid w:val="049525BD"/>
    <w:rsid w:val="049D76C3"/>
    <w:rsid w:val="04A507BC"/>
    <w:rsid w:val="04AC06B1"/>
    <w:rsid w:val="04C87536"/>
    <w:rsid w:val="04C95300"/>
    <w:rsid w:val="04F64D19"/>
    <w:rsid w:val="052B325D"/>
    <w:rsid w:val="056B197B"/>
    <w:rsid w:val="05F07017"/>
    <w:rsid w:val="060317A8"/>
    <w:rsid w:val="062D088E"/>
    <w:rsid w:val="067A5F0E"/>
    <w:rsid w:val="071D689A"/>
    <w:rsid w:val="076566A7"/>
    <w:rsid w:val="0768220B"/>
    <w:rsid w:val="079A2F4B"/>
    <w:rsid w:val="07B64740"/>
    <w:rsid w:val="081F5E69"/>
    <w:rsid w:val="082E25CB"/>
    <w:rsid w:val="08D11B99"/>
    <w:rsid w:val="08D800EA"/>
    <w:rsid w:val="08D86F1C"/>
    <w:rsid w:val="09214A58"/>
    <w:rsid w:val="092403B3"/>
    <w:rsid w:val="093F51ED"/>
    <w:rsid w:val="094B7F45"/>
    <w:rsid w:val="098C4275"/>
    <w:rsid w:val="099A0675"/>
    <w:rsid w:val="099C2AD0"/>
    <w:rsid w:val="09C672E8"/>
    <w:rsid w:val="09F77876"/>
    <w:rsid w:val="0A5474C3"/>
    <w:rsid w:val="0A5F7AD5"/>
    <w:rsid w:val="0A630BD7"/>
    <w:rsid w:val="0A880415"/>
    <w:rsid w:val="0AAA50E9"/>
    <w:rsid w:val="0ABB6AF5"/>
    <w:rsid w:val="0ACA7865"/>
    <w:rsid w:val="0AFB3396"/>
    <w:rsid w:val="0B6941DA"/>
    <w:rsid w:val="0BA53A2D"/>
    <w:rsid w:val="0BCE5A19"/>
    <w:rsid w:val="0BD25EA5"/>
    <w:rsid w:val="0C027923"/>
    <w:rsid w:val="0C1E16F8"/>
    <w:rsid w:val="0CEA5470"/>
    <w:rsid w:val="0D3B1B72"/>
    <w:rsid w:val="0DB63714"/>
    <w:rsid w:val="0DBF7C0D"/>
    <w:rsid w:val="0DD264ED"/>
    <w:rsid w:val="0DD809E2"/>
    <w:rsid w:val="0E045967"/>
    <w:rsid w:val="0E056A05"/>
    <w:rsid w:val="0E093118"/>
    <w:rsid w:val="0E306947"/>
    <w:rsid w:val="0E697416"/>
    <w:rsid w:val="0E7019A5"/>
    <w:rsid w:val="0EB53971"/>
    <w:rsid w:val="0F8346BB"/>
    <w:rsid w:val="0FAD17DF"/>
    <w:rsid w:val="104737B6"/>
    <w:rsid w:val="107F306E"/>
    <w:rsid w:val="10D80401"/>
    <w:rsid w:val="114948FA"/>
    <w:rsid w:val="11515ABE"/>
    <w:rsid w:val="115E6BEF"/>
    <w:rsid w:val="11D81D3B"/>
    <w:rsid w:val="11E54405"/>
    <w:rsid w:val="126757A9"/>
    <w:rsid w:val="1292624E"/>
    <w:rsid w:val="129C0FBA"/>
    <w:rsid w:val="12C025AA"/>
    <w:rsid w:val="136046DE"/>
    <w:rsid w:val="13774B73"/>
    <w:rsid w:val="139F6FB4"/>
    <w:rsid w:val="13CB4909"/>
    <w:rsid w:val="143E0B0F"/>
    <w:rsid w:val="143F42F3"/>
    <w:rsid w:val="14B561ED"/>
    <w:rsid w:val="14C53111"/>
    <w:rsid w:val="14F13A81"/>
    <w:rsid w:val="1538599A"/>
    <w:rsid w:val="158B0678"/>
    <w:rsid w:val="158F5E01"/>
    <w:rsid w:val="15916DD0"/>
    <w:rsid w:val="1607158C"/>
    <w:rsid w:val="16A356CC"/>
    <w:rsid w:val="16C93F42"/>
    <w:rsid w:val="16E37DD9"/>
    <w:rsid w:val="1706734A"/>
    <w:rsid w:val="173418E5"/>
    <w:rsid w:val="17342109"/>
    <w:rsid w:val="17D243DD"/>
    <w:rsid w:val="17D60801"/>
    <w:rsid w:val="17E108DF"/>
    <w:rsid w:val="182E6B2B"/>
    <w:rsid w:val="18363C5F"/>
    <w:rsid w:val="186009B5"/>
    <w:rsid w:val="18846779"/>
    <w:rsid w:val="18991B4E"/>
    <w:rsid w:val="18A01635"/>
    <w:rsid w:val="18C97898"/>
    <w:rsid w:val="18E84F59"/>
    <w:rsid w:val="18F643B3"/>
    <w:rsid w:val="19161B44"/>
    <w:rsid w:val="1917122A"/>
    <w:rsid w:val="19241D0A"/>
    <w:rsid w:val="193B777F"/>
    <w:rsid w:val="193E2DCB"/>
    <w:rsid w:val="196206F1"/>
    <w:rsid w:val="196C2926"/>
    <w:rsid w:val="1977026D"/>
    <w:rsid w:val="197F664F"/>
    <w:rsid w:val="19B77BF5"/>
    <w:rsid w:val="19F33BB6"/>
    <w:rsid w:val="19F37E2D"/>
    <w:rsid w:val="1A534654"/>
    <w:rsid w:val="1A551963"/>
    <w:rsid w:val="1AF44F33"/>
    <w:rsid w:val="1B0E67CD"/>
    <w:rsid w:val="1B2873F8"/>
    <w:rsid w:val="1B28788F"/>
    <w:rsid w:val="1B4548E5"/>
    <w:rsid w:val="1B702014"/>
    <w:rsid w:val="1BD47A17"/>
    <w:rsid w:val="1CF80317"/>
    <w:rsid w:val="1D085BCA"/>
    <w:rsid w:val="1D74500E"/>
    <w:rsid w:val="1DD65CC8"/>
    <w:rsid w:val="1DD800C0"/>
    <w:rsid w:val="1E43791C"/>
    <w:rsid w:val="1E5310C7"/>
    <w:rsid w:val="1E550743"/>
    <w:rsid w:val="1E830574"/>
    <w:rsid w:val="1EC41FC5"/>
    <w:rsid w:val="1EF26B32"/>
    <w:rsid w:val="1F2952CA"/>
    <w:rsid w:val="1F777037"/>
    <w:rsid w:val="1FA616CA"/>
    <w:rsid w:val="1FAB6CE1"/>
    <w:rsid w:val="1FB24210"/>
    <w:rsid w:val="1FF34AC9"/>
    <w:rsid w:val="206155F1"/>
    <w:rsid w:val="20B54DB2"/>
    <w:rsid w:val="21042B4C"/>
    <w:rsid w:val="213A566A"/>
    <w:rsid w:val="2195298B"/>
    <w:rsid w:val="2198560E"/>
    <w:rsid w:val="21CB3F90"/>
    <w:rsid w:val="21CE72BA"/>
    <w:rsid w:val="21E670F4"/>
    <w:rsid w:val="22072FB3"/>
    <w:rsid w:val="22112B50"/>
    <w:rsid w:val="224433AA"/>
    <w:rsid w:val="224D0523"/>
    <w:rsid w:val="225B2099"/>
    <w:rsid w:val="22702B26"/>
    <w:rsid w:val="22791318"/>
    <w:rsid w:val="22837AA1"/>
    <w:rsid w:val="228A7081"/>
    <w:rsid w:val="229C0C3D"/>
    <w:rsid w:val="22A85555"/>
    <w:rsid w:val="22FD3CF7"/>
    <w:rsid w:val="23056708"/>
    <w:rsid w:val="234D0A23"/>
    <w:rsid w:val="235F406A"/>
    <w:rsid w:val="23746473"/>
    <w:rsid w:val="239A4724"/>
    <w:rsid w:val="23C04A55"/>
    <w:rsid w:val="23C87E61"/>
    <w:rsid w:val="23E21274"/>
    <w:rsid w:val="241412F8"/>
    <w:rsid w:val="242536D0"/>
    <w:rsid w:val="245E4322"/>
    <w:rsid w:val="247F5B46"/>
    <w:rsid w:val="248144B4"/>
    <w:rsid w:val="24E16D01"/>
    <w:rsid w:val="253B28B5"/>
    <w:rsid w:val="25533D7B"/>
    <w:rsid w:val="25823163"/>
    <w:rsid w:val="25CD7137"/>
    <w:rsid w:val="25E2090D"/>
    <w:rsid w:val="25F37706"/>
    <w:rsid w:val="264D4DAD"/>
    <w:rsid w:val="26BE3321"/>
    <w:rsid w:val="2722776F"/>
    <w:rsid w:val="27255CA7"/>
    <w:rsid w:val="27293DA3"/>
    <w:rsid w:val="27457A1B"/>
    <w:rsid w:val="274B704D"/>
    <w:rsid w:val="2778394C"/>
    <w:rsid w:val="279C2686"/>
    <w:rsid w:val="27CB6172"/>
    <w:rsid w:val="27EF1D1C"/>
    <w:rsid w:val="280660E7"/>
    <w:rsid w:val="2823481F"/>
    <w:rsid w:val="28706D19"/>
    <w:rsid w:val="28A27541"/>
    <w:rsid w:val="28CF7D70"/>
    <w:rsid w:val="28E76302"/>
    <w:rsid w:val="291F3D28"/>
    <w:rsid w:val="29226266"/>
    <w:rsid w:val="2A071140"/>
    <w:rsid w:val="2AC967C3"/>
    <w:rsid w:val="2AD510B6"/>
    <w:rsid w:val="2AFA0B1C"/>
    <w:rsid w:val="2B0F5B99"/>
    <w:rsid w:val="2B8A1EA0"/>
    <w:rsid w:val="2BDA2720"/>
    <w:rsid w:val="2BE93C1A"/>
    <w:rsid w:val="2C695F59"/>
    <w:rsid w:val="2CA90A4C"/>
    <w:rsid w:val="2CBA0563"/>
    <w:rsid w:val="2CF55C1F"/>
    <w:rsid w:val="2D665E74"/>
    <w:rsid w:val="2D99286E"/>
    <w:rsid w:val="2DAC07F4"/>
    <w:rsid w:val="2DC40922"/>
    <w:rsid w:val="2DF41412"/>
    <w:rsid w:val="2E234DC0"/>
    <w:rsid w:val="2E2B0E5E"/>
    <w:rsid w:val="2E575FCC"/>
    <w:rsid w:val="2E627104"/>
    <w:rsid w:val="2E693B84"/>
    <w:rsid w:val="2EB108A7"/>
    <w:rsid w:val="2EBB11D7"/>
    <w:rsid w:val="2F5F3B7C"/>
    <w:rsid w:val="2F7075FF"/>
    <w:rsid w:val="2F786BDD"/>
    <w:rsid w:val="2F902AB5"/>
    <w:rsid w:val="2FB63E0A"/>
    <w:rsid w:val="2FC17E5A"/>
    <w:rsid w:val="2FF975F4"/>
    <w:rsid w:val="30233A33"/>
    <w:rsid w:val="30311392"/>
    <w:rsid w:val="305E1890"/>
    <w:rsid w:val="307C1BEC"/>
    <w:rsid w:val="30A43A04"/>
    <w:rsid w:val="30BA2638"/>
    <w:rsid w:val="30E63872"/>
    <w:rsid w:val="31046251"/>
    <w:rsid w:val="31172EF5"/>
    <w:rsid w:val="31353885"/>
    <w:rsid w:val="314D409C"/>
    <w:rsid w:val="31526CE7"/>
    <w:rsid w:val="316B62D0"/>
    <w:rsid w:val="317D4740"/>
    <w:rsid w:val="318178A1"/>
    <w:rsid w:val="31AC0DC2"/>
    <w:rsid w:val="31C55E0D"/>
    <w:rsid w:val="31E76326"/>
    <w:rsid w:val="31FE5396"/>
    <w:rsid w:val="321C6AB4"/>
    <w:rsid w:val="3233535A"/>
    <w:rsid w:val="329A3D4F"/>
    <w:rsid w:val="32BE2A91"/>
    <w:rsid w:val="33074498"/>
    <w:rsid w:val="33AE791F"/>
    <w:rsid w:val="33C06DA7"/>
    <w:rsid w:val="33F26834"/>
    <w:rsid w:val="34325184"/>
    <w:rsid w:val="346E1C27"/>
    <w:rsid w:val="34CA2551"/>
    <w:rsid w:val="34DF14AF"/>
    <w:rsid w:val="34F27B67"/>
    <w:rsid w:val="35591BE5"/>
    <w:rsid w:val="359D5DD6"/>
    <w:rsid w:val="36064E50"/>
    <w:rsid w:val="361E1B63"/>
    <w:rsid w:val="362863AF"/>
    <w:rsid w:val="36597105"/>
    <w:rsid w:val="36844F22"/>
    <w:rsid w:val="36CA1CEB"/>
    <w:rsid w:val="36D038F2"/>
    <w:rsid w:val="374B6A13"/>
    <w:rsid w:val="37CC0470"/>
    <w:rsid w:val="389465C2"/>
    <w:rsid w:val="3899102A"/>
    <w:rsid w:val="38FF3ECD"/>
    <w:rsid w:val="390B251F"/>
    <w:rsid w:val="390F7E89"/>
    <w:rsid w:val="39162FC5"/>
    <w:rsid w:val="39225E0E"/>
    <w:rsid w:val="39800A0C"/>
    <w:rsid w:val="39D96E5F"/>
    <w:rsid w:val="39EB4452"/>
    <w:rsid w:val="3A0C3554"/>
    <w:rsid w:val="3A1B5E20"/>
    <w:rsid w:val="3A216CEA"/>
    <w:rsid w:val="3A6B125E"/>
    <w:rsid w:val="3AA924AD"/>
    <w:rsid w:val="3B163B4E"/>
    <w:rsid w:val="3B6D578A"/>
    <w:rsid w:val="3B7E51F7"/>
    <w:rsid w:val="3B8811A4"/>
    <w:rsid w:val="3B9D352A"/>
    <w:rsid w:val="3BAC10D3"/>
    <w:rsid w:val="3BB865B6"/>
    <w:rsid w:val="3BD8303F"/>
    <w:rsid w:val="3C0F220A"/>
    <w:rsid w:val="3C267544"/>
    <w:rsid w:val="3C4D31A2"/>
    <w:rsid w:val="3C5A3D43"/>
    <w:rsid w:val="3C8C6D91"/>
    <w:rsid w:val="3D36354C"/>
    <w:rsid w:val="3D7D7AB7"/>
    <w:rsid w:val="3DB657B3"/>
    <w:rsid w:val="3DB72FC9"/>
    <w:rsid w:val="3DBB413B"/>
    <w:rsid w:val="3DC93A44"/>
    <w:rsid w:val="3DD11BB1"/>
    <w:rsid w:val="3DE051EE"/>
    <w:rsid w:val="3DEB0EC4"/>
    <w:rsid w:val="3DED4811"/>
    <w:rsid w:val="3E1F3CAD"/>
    <w:rsid w:val="3E292C29"/>
    <w:rsid w:val="3E3A7756"/>
    <w:rsid w:val="3E78615B"/>
    <w:rsid w:val="3E8E35FE"/>
    <w:rsid w:val="3E970704"/>
    <w:rsid w:val="3E9854B3"/>
    <w:rsid w:val="3EDA6843"/>
    <w:rsid w:val="3EE37DED"/>
    <w:rsid w:val="3F19434D"/>
    <w:rsid w:val="3F891E69"/>
    <w:rsid w:val="3F9609BC"/>
    <w:rsid w:val="3F984C13"/>
    <w:rsid w:val="40026051"/>
    <w:rsid w:val="401961DF"/>
    <w:rsid w:val="402F15E7"/>
    <w:rsid w:val="40644F5E"/>
    <w:rsid w:val="40C907D4"/>
    <w:rsid w:val="40D01E95"/>
    <w:rsid w:val="40D82635"/>
    <w:rsid w:val="41076015"/>
    <w:rsid w:val="411C44F4"/>
    <w:rsid w:val="412755BD"/>
    <w:rsid w:val="414C1C7A"/>
    <w:rsid w:val="415303D5"/>
    <w:rsid w:val="416D1BF0"/>
    <w:rsid w:val="41ED7135"/>
    <w:rsid w:val="422F48A1"/>
    <w:rsid w:val="428E7BE1"/>
    <w:rsid w:val="42B20B36"/>
    <w:rsid w:val="42B87240"/>
    <w:rsid w:val="42C56EC3"/>
    <w:rsid w:val="42CC7312"/>
    <w:rsid w:val="42D31499"/>
    <w:rsid w:val="42FB66C8"/>
    <w:rsid w:val="430F2F5F"/>
    <w:rsid w:val="43192944"/>
    <w:rsid w:val="43394480"/>
    <w:rsid w:val="43404F60"/>
    <w:rsid w:val="434D6BCE"/>
    <w:rsid w:val="44131BBA"/>
    <w:rsid w:val="447255E6"/>
    <w:rsid w:val="448B4867"/>
    <w:rsid w:val="44A34615"/>
    <w:rsid w:val="44CD7E13"/>
    <w:rsid w:val="44FC5BB9"/>
    <w:rsid w:val="453A628D"/>
    <w:rsid w:val="454B2248"/>
    <w:rsid w:val="4550160D"/>
    <w:rsid w:val="459B4F7E"/>
    <w:rsid w:val="45B61DB8"/>
    <w:rsid w:val="45D2152F"/>
    <w:rsid w:val="45ED441E"/>
    <w:rsid w:val="45EE0F95"/>
    <w:rsid w:val="45F42F70"/>
    <w:rsid w:val="45F85626"/>
    <w:rsid w:val="46080139"/>
    <w:rsid w:val="462273F5"/>
    <w:rsid w:val="464A3A20"/>
    <w:rsid w:val="466556B5"/>
    <w:rsid w:val="46710516"/>
    <w:rsid w:val="4671255E"/>
    <w:rsid w:val="468A4D8B"/>
    <w:rsid w:val="4692195B"/>
    <w:rsid w:val="46E44703"/>
    <w:rsid w:val="470E15D4"/>
    <w:rsid w:val="47234C6F"/>
    <w:rsid w:val="476E0DE5"/>
    <w:rsid w:val="47E36768"/>
    <w:rsid w:val="47F941DE"/>
    <w:rsid w:val="484418FD"/>
    <w:rsid w:val="48643D4D"/>
    <w:rsid w:val="48733C90"/>
    <w:rsid w:val="4879178A"/>
    <w:rsid w:val="487D7E3E"/>
    <w:rsid w:val="48943F06"/>
    <w:rsid w:val="48967192"/>
    <w:rsid w:val="489A6313"/>
    <w:rsid w:val="48A95C04"/>
    <w:rsid w:val="48BB3C9E"/>
    <w:rsid w:val="48CE0A5C"/>
    <w:rsid w:val="48EB4CA0"/>
    <w:rsid w:val="49117305"/>
    <w:rsid w:val="4949445D"/>
    <w:rsid w:val="494E22CA"/>
    <w:rsid w:val="49962931"/>
    <w:rsid w:val="49B51BAE"/>
    <w:rsid w:val="49C7090D"/>
    <w:rsid w:val="4A442B3D"/>
    <w:rsid w:val="4A5E47CC"/>
    <w:rsid w:val="4A7E09CA"/>
    <w:rsid w:val="4A881849"/>
    <w:rsid w:val="4A884CC6"/>
    <w:rsid w:val="4AA52D9C"/>
    <w:rsid w:val="4AA55BC3"/>
    <w:rsid w:val="4ABC7D85"/>
    <w:rsid w:val="4BCD1C09"/>
    <w:rsid w:val="4C201CDE"/>
    <w:rsid w:val="4C254B4B"/>
    <w:rsid w:val="4C455C43"/>
    <w:rsid w:val="4C7B1665"/>
    <w:rsid w:val="4C7C3630"/>
    <w:rsid w:val="4C92075D"/>
    <w:rsid w:val="4CA441C7"/>
    <w:rsid w:val="4CC07F53"/>
    <w:rsid w:val="4CD01739"/>
    <w:rsid w:val="4D07114B"/>
    <w:rsid w:val="4D381CBD"/>
    <w:rsid w:val="4D403EDA"/>
    <w:rsid w:val="4D954046"/>
    <w:rsid w:val="4DC42B98"/>
    <w:rsid w:val="4DF71B22"/>
    <w:rsid w:val="4E0256F8"/>
    <w:rsid w:val="4E202AF3"/>
    <w:rsid w:val="4E29093D"/>
    <w:rsid w:val="4E3628DD"/>
    <w:rsid w:val="4E487C6D"/>
    <w:rsid w:val="4E6D29C4"/>
    <w:rsid w:val="4E9A0D74"/>
    <w:rsid w:val="4EE72FE2"/>
    <w:rsid w:val="4F282F37"/>
    <w:rsid w:val="4F441719"/>
    <w:rsid w:val="4F701691"/>
    <w:rsid w:val="4FAA2095"/>
    <w:rsid w:val="4FC60E49"/>
    <w:rsid w:val="4FF52C71"/>
    <w:rsid w:val="50137E07"/>
    <w:rsid w:val="503A7A08"/>
    <w:rsid w:val="5055041F"/>
    <w:rsid w:val="509A51EA"/>
    <w:rsid w:val="509E3ED1"/>
    <w:rsid w:val="50B138A7"/>
    <w:rsid w:val="50B415EA"/>
    <w:rsid w:val="514E559A"/>
    <w:rsid w:val="51E90E1F"/>
    <w:rsid w:val="51E92988"/>
    <w:rsid w:val="520E62B8"/>
    <w:rsid w:val="52263E21"/>
    <w:rsid w:val="528312E8"/>
    <w:rsid w:val="529A4BA7"/>
    <w:rsid w:val="52B50FFA"/>
    <w:rsid w:val="52BD5F36"/>
    <w:rsid w:val="52DA54E7"/>
    <w:rsid w:val="52E468A6"/>
    <w:rsid w:val="52E8669F"/>
    <w:rsid w:val="531F42E7"/>
    <w:rsid w:val="535E7C92"/>
    <w:rsid w:val="53D6797D"/>
    <w:rsid w:val="53E775E0"/>
    <w:rsid w:val="545D4AE8"/>
    <w:rsid w:val="54BC690A"/>
    <w:rsid w:val="54E12281"/>
    <w:rsid w:val="54FD5330"/>
    <w:rsid w:val="55132EB9"/>
    <w:rsid w:val="553C122E"/>
    <w:rsid w:val="55D61E8E"/>
    <w:rsid w:val="55E101CF"/>
    <w:rsid w:val="55F00828"/>
    <w:rsid w:val="56431446"/>
    <w:rsid w:val="56E5591B"/>
    <w:rsid w:val="57631674"/>
    <w:rsid w:val="576C66C6"/>
    <w:rsid w:val="5794495B"/>
    <w:rsid w:val="57A500D0"/>
    <w:rsid w:val="57BE55F9"/>
    <w:rsid w:val="57C351F2"/>
    <w:rsid w:val="57E11E3C"/>
    <w:rsid w:val="57F8000E"/>
    <w:rsid w:val="58532224"/>
    <w:rsid w:val="586236D9"/>
    <w:rsid w:val="586903C5"/>
    <w:rsid w:val="58711142"/>
    <w:rsid w:val="591A7404"/>
    <w:rsid w:val="59213594"/>
    <w:rsid w:val="593212FE"/>
    <w:rsid w:val="59590F80"/>
    <w:rsid w:val="59954846"/>
    <w:rsid w:val="59967813"/>
    <w:rsid w:val="59A732EE"/>
    <w:rsid w:val="59C3464B"/>
    <w:rsid w:val="59DE2BBE"/>
    <w:rsid w:val="59ED4668"/>
    <w:rsid w:val="5A296BA4"/>
    <w:rsid w:val="5A3215B5"/>
    <w:rsid w:val="5A410A6F"/>
    <w:rsid w:val="5A997D7B"/>
    <w:rsid w:val="5AD85ED5"/>
    <w:rsid w:val="5AF54CD9"/>
    <w:rsid w:val="5B487A9F"/>
    <w:rsid w:val="5B89006B"/>
    <w:rsid w:val="5B9C33A6"/>
    <w:rsid w:val="5BD668B8"/>
    <w:rsid w:val="5BE34B31"/>
    <w:rsid w:val="5C5B0B6B"/>
    <w:rsid w:val="5C65447A"/>
    <w:rsid w:val="5CC02D81"/>
    <w:rsid w:val="5CCD039C"/>
    <w:rsid w:val="5CE05C01"/>
    <w:rsid w:val="5D067F46"/>
    <w:rsid w:val="5DEA6484"/>
    <w:rsid w:val="5E2A0506"/>
    <w:rsid w:val="5EA66A16"/>
    <w:rsid w:val="5F5244A8"/>
    <w:rsid w:val="5F595E8D"/>
    <w:rsid w:val="5F8A2976"/>
    <w:rsid w:val="5F8B5C0B"/>
    <w:rsid w:val="5FB9070F"/>
    <w:rsid w:val="5FD56E87"/>
    <w:rsid w:val="5FE039CC"/>
    <w:rsid w:val="60502867"/>
    <w:rsid w:val="60591866"/>
    <w:rsid w:val="606C1599"/>
    <w:rsid w:val="60964868"/>
    <w:rsid w:val="609E76CE"/>
    <w:rsid w:val="60C31E90"/>
    <w:rsid w:val="60D137C0"/>
    <w:rsid w:val="60EE6452"/>
    <w:rsid w:val="60F7080B"/>
    <w:rsid w:val="611C2FBF"/>
    <w:rsid w:val="613D03AF"/>
    <w:rsid w:val="61412A26"/>
    <w:rsid w:val="61986847"/>
    <w:rsid w:val="61C5000F"/>
    <w:rsid w:val="62840C9B"/>
    <w:rsid w:val="62917095"/>
    <w:rsid w:val="62BA0AE5"/>
    <w:rsid w:val="62E95123"/>
    <w:rsid w:val="63312626"/>
    <w:rsid w:val="63616C72"/>
    <w:rsid w:val="63753EA0"/>
    <w:rsid w:val="63923347"/>
    <w:rsid w:val="63A60D41"/>
    <w:rsid w:val="63BD32C9"/>
    <w:rsid w:val="63C45248"/>
    <w:rsid w:val="63C6035F"/>
    <w:rsid w:val="63EF1280"/>
    <w:rsid w:val="63F67AE4"/>
    <w:rsid w:val="649A1D1D"/>
    <w:rsid w:val="64E04304"/>
    <w:rsid w:val="64EC4A56"/>
    <w:rsid w:val="659B691E"/>
    <w:rsid w:val="65B23DC5"/>
    <w:rsid w:val="65D242C5"/>
    <w:rsid w:val="65E75AA3"/>
    <w:rsid w:val="65F10142"/>
    <w:rsid w:val="66124991"/>
    <w:rsid w:val="66770C98"/>
    <w:rsid w:val="669E4476"/>
    <w:rsid w:val="66E10C4D"/>
    <w:rsid w:val="67FD069B"/>
    <w:rsid w:val="68502200"/>
    <w:rsid w:val="685D140B"/>
    <w:rsid w:val="68AF2172"/>
    <w:rsid w:val="68D47A7B"/>
    <w:rsid w:val="68DF193E"/>
    <w:rsid w:val="68E80759"/>
    <w:rsid w:val="68E84E3F"/>
    <w:rsid w:val="68EB5016"/>
    <w:rsid w:val="68F04F40"/>
    <w:rsid w:val="68F76E5C"/>
    <w:rsid w:val="691A565F"/>
    <w:rsid w:val="69455133"/>
    <w:rsid w:val="69937B96"/>
    <w:rsid w:val="69C2222A"/>
    <w:rsid w:val="6A3757AC"/>
    <w:rsid w:val="6A701523"/>
    <w:rsid w:val="6A9C2A7B"/>
    <w:rsid w:val="6AC1406F"/>
    <w:rsid w:val="6AD54BB5"/>
    <w:rsid w:val="6B264A3A"/>
    <w:rsid w:val="6B3634BA"/>
    <w:rsid w:val="6B4120C8"/>
    <w:rsid w:val="6BDD42B9"/>
    <w:rsid w:val="6BE84649"/>
    <w:rsid w:val="6C085287"/>
    <w:rsid w:val="6C401523"/>
    <w:rsid w:val="6C537AB1"/>
    <w:rsid w:val="6CB843CF"/>
    <w:rsid w:val="6CD00EA6"/>
    <w:rsid w:val="6CD26C28"/>
    <w:rsid w:val="6CE6131C"/>
    <w:rsid w:val="6CEB1759"/>
    <w:rsid w:val="6D313420"/>
    <w:rsid w:val="6D54763D"/>
    <w:rsid w:val="6DDB7D5E"/>
    <w:rsid w:val="6DDD5A51"/>
    <w:rsid w:val="6DE51FC5"/>
    <w:rsid w:val="6DED2D3B"/>
    <w:rsid w:val="6E414422"/>
    <w:rsid w:val="6EA15698"/>
    <w:rsid w:val="6EA231BA"/>
    <w:rsid w:val="6F2E742E"/>
    <w:rsid w:val="6F410095"/>
    <w:rsid w:val="6F482D42"/>
    <w:rsid w:val="6FA523D2"/>
    <w:rsid w:val="701045B5"/>
    <w:rsid w:val="703D37EB"/>
    <w:rsid w:val="70C71D41"/>
    <w:rsid w:val="70E21403"/>
    <w:rsid w:val="70FA674D"/>
    <w:rsid w:val="712D6B22"/>
    <w:rsid w:val="714B0D57"/>
    <w:rsid w:val="715959B6"/>
    <w:rsid w:val="715B4B81"/>
    <w:rsid w:val="715F1DCE"/>
    <w:rsid w:val="717B055E"/>
    <w:rsid w:val="71A128C0"/>
    <w:rsid w:val="71F475E4"/>
    <w:rsid w:val="723B701D"/>
    <w:rsid w:val="72872262"/>
    <w:rsid w:val="729E26DA"/>
    <w:rsid w:val="7301390F"/>
    <w:rsid w:val="738549F4"/>
    <w:rsid w:val="73B07EB2"/>
    <w:rsid w:val="73ED585D"/>
    <w:rsid w:val="741E6BF6"/>
    <w:rsid w:val="7471020F"/>
    <w:rsid w:val="747607E0"/>
    <w:rsid w:val="74885165"/>
    <w:rsid w:val="757A7E5C"/>
    <w:rsid w:val="76065B94"/>
    <w:rsid w:val="76110D92"/>
    <w:rsid w:val="768C7E47"/>
    <w:rsid w:val="76D56593"/>
    <w:rsid w:val="77DF59B7"/>
    <w:rsid w:val="78462278"/>
    <w:rsid w:val="78A463ED"/>
    <w:rsid w:val="78AE6557"/>
    <w:rsid w:val="792C3B64"/>
    <w:rsid w:val="79D25EED"/>
    <w:rsid w:val="79FE1404"/>
    <w:rsid w:val="7A043533"/>
    <w:rsid w:val="7A4B1055"/>
    <w:rsid w:val="7A534C54"/>
    <w:rsid w:val="7ADC47C3"/>
    <w:rsid w:val="7B280FD1"/>
    <w:rsid w:val="7B4B6523"/>
    <w:rsid w:val="7B8A69E6"/>
    <w:rsid w:val="7BD07335"/>
    <w:rsid w:val="7BD227A0"/>
    <w:rsid w:val="7C2D5E41"/>
    <w:rsid w:val="7C907F65"/>
    <w:rsid w:val="7CA010C3"/>
    <w:rsid w:val="7CA34E54"/>
    <w:rsid w:val="7CCE6A29"/>
    <w:rsid w:val="7CF33270"/>
    <w:rsid w:val="7D02603F"/>
    <w:rsid w:val="7D2C2B03"/>
    <w:rsid w:val="7D4A280A"/>
    <w:rsid w:val="7D657644"/>
    <w:rsid w:val="7DDB1C1B"/>
    <w:rsid w:val="7DE94A78"/>
    <w:rsid w:val="7E146C66"/>
    <w:rsid w:val="7E1D3989"/>
    <w:rsid w:val="7E417867"/>
    <w:rsid w:val="7ED61979"/>
    <w:rsid w:val="7F051133"/>
    <w:rsid w:val="7F150C8C"/>
    <w:rsid w:val="7F3948E4"/>
    <w:rsid w:val="7F61079B"/>
    <w:rsid w:val="7F836F37"/>
    <w:rsid w:val="7FCC39AA"/>
    <w:rsid w:val="7FDB1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宋体"/>
      <w:snapToGrid w:val="0"/>
      <w:spacing w:val="-1"/>
      <w:sz w:val="24"/>
      <w:szCs w:val="24"/>
      <w:lang w:val="en-US" w:eastAsia="en-US" w:bidi="ar-SA"/>
    </w:rPr>
  </w:style>
  <w:style w:type="paragraph" w:styleId="2">
    <w:name w:val="heading 1"/>
    <w:basedOn w:val="1"/>
    <w:next w:val="1"/>
    <w:qFormat/>
    <w:uiPriority w:val="0"/>
    <w:pPr>
      <w:keepNext/>
      <w:keepLines/>
      <w:widowControl w:val="0"/>
      <w:spacing w:line="460" w:lineRule="exact"/>
      <w:jc w:val="center"/>
      <w:outlineLvl w:val="0"/>
    </w:pPr>
    <w:rPr>
      <w:rFonts w:ascii="Times New Roman" w:hAnsi="Times New Roman" w:cs="Times New Roman"/>
      <w:b/>
      <w:bCs/>
      <w:kern w:val="44"/>
      <w:sz w:val="32"/>
    </w:rPr>
  </w:style>
  <w:style w:type="paragraph" w:styleId="3">
    <w:name w:val="heading 2"/>
    <w:basedOn w:val="1"/>
    <w:next w:val="1"/>
    <w:qFormat/>
    <w:uiPriority w:val="0"/>
    <w:pPr>
      <w:keepNext/>
      <w:keepLines/>
      <w:kinsoku/>
      <w:spacing w:line="460" w:lineRule="exact"/>
      <w:outlineLvl w:val="1"/>
    </w:pPr>
    <w:rPr>
      <w:rFonts w:ascii="宋体" w:hAnsi="宋体"/>
      <w:b/>
      <w:bCs/>
      <w:spacing w:val="0"/>
      <w:szCs w:val="32"/>
    </w:rPr>
  </w:style>
  <w:style w:type="paragraph" w:styleId="4">
    <w:name w:val="heading 3"/>
    <w:basedOn w:val="1"/>
    <w:next w:val="1"/>
    <w:unhideWhenUsed/>
    <w:qFormat/>
    <w:uiPriority w:val="0"/>
    <w:pPr>
      <w:keepNext/>
      <w:keepLines/>
      <w:kinsoku/>
      <w:spacing w:line="460" w:lineRule="exact"/>
      <w:jc w:val="center"/>
      <w:outlineLvl w:val="2"/>
    </w:pPr>
    <w:rPr>
      <w:rFonts w:ascii="Times New Roman" w:hAnsi="Times New Roman"/>
      <w:b/>
      <w:spacing w:val="0"/>
    </w:rPr>
  </w:style>
  <w:style w:type="paragraph" w:styleId="5">
    <w:name w:val="heading 4"/>
    <w:basedOn w:val="1"/>
    <w:next w:val="1"/>
    <w:link w:val="34"/>
    <w:unhideWhenUsed/>
    <w:qFormat/>
    <w:uiPriority w:val="0"/>
    <w:pPr>
      <w:keepNext/>
      <w:keepLines/>
      <w:spacing w:line="372" w:lineRule="auto"/>
      <w:outlineLvl w:val="3"/>
    </w:pPr>
    <w:rPr>
      <w:rFonts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szCs w:val="21"/>
    </w:rPr>
  </w:style>
  <w:style w:type="paragraph" w:styleId="7">
    <w:name w:val="Document Map"/>
    <w:basedOn w:val="1"/>
    <w:link w:val="50"/>
    <w:qFormat/>
    <w:uiPriority w:val="0"/>
    <w:rPr>
      <w:rFonts w:ascii="宋体"/>
      <w:sz w:val="18"/>
      <w:szCs w:val="18"/>
    </w:rPr>
  </w:style>
  <w:style w:type="paragraph" w:styleId="8">
    <w:name w:val="annotation text"/>
    <w:basedOn w:val="1"/>
    <w:qFormat/>
    <w:uiPriority w:val="0"/>
  </w:style>
  <w:style w:type="paragraph" w:styleId="9">
    <w:name w:val="Body Text"/>
    <w:basedOn w:val="1"/>
    <w:qFormat/>
    <w:uiPriority w:val="0"/>
    <w:rPr>
      <w:rFonts w:ascii="仿宋" w:hAnsi="仿宋" w:eastAsia="仿宋" w:cs="仿宋"/>
      <w:sz w:val="30"/>
      <w:szCs w:val="30"/>
    </w:rPr>
  </w:style>
  <w:style w:type="paragraph" w:styleId="10">
    <w:name w:val="Body Text Indent"/>
    <w:basedOn w:val="1"/>
    <w:unhideWhenUsed/>
    <w:qFormat/>
    <w:uiPriority w:val="99"/>
    <w:pPr>
      <w:spacing w:after="120"/>
      <w:ind w:left="420" w:leftChars="200"/>
    </w:pPr>
    <w:rPr>
      <w:rFonts w:eastAsia="微软雅黑"/>
      <w:szCs w:val="20"/>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0"/>
      <w:szCs w:val="21"/>
    </w:rPr>
  </w:style>
  <w:style w:type="paragraph" w:styleId="13">
    <w:name w:val="Balloon Text"/>
    <w:basedOn w:val="1"/>
    <w:link w:val="49"/>
    <w:qFormat/>
    <w:uiPriority w:val="0"/>
    <w:rPr>
      <w:sz w:val="18"/>
      <w:szCs w:val="18"/>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0"/>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9">
    <w:name w:val="toc 2"/>
    <w:basedOn w:val="1"/>
    <w:next w:val="1"/>
    <w:qFormat/>
    <w:uiPriority w:val="0"/>
    <w:pPr>
      <w:keepNext w:val="0"/>
      <w:keepLines w:val="0"/>
      <w:widowControl w:val="0"/>
      <w:suppressLineNumbers w:val="0"/>
      <w:ind w:left="420" w:leftChars="200" w:right="283" w:rightChars="135"/>
      <w:jc w:val="both"/>
    </w:pPr>
    <w:rPr>
      <w:rFonts w:hint="default" w:ascii="Times New Roman" w:hAnsi="Times New Roman" w:eastAsia="宋体" w:cs="Times New Roman"/>
      <w:kern w:val="2"/>
      <w:sz w:val="21"/>
      <w:szCs w:val="21"/>
      <w:lang w:val="en-US" w:eastAsia="zh-CN" w:bidi="ar"/>
    </w:rPr>
  </w:style>
  <w:style w:type="paragraph" w:styleId="20">
    <w:name w:val="Normal (Web)"/>
    <w:basedOn w:val="1"/>
    <w:qFormat/>
    <w:uiPriority w:val="0"/>
    <w:pPr>
      <w:spacing w:before="100" w:beforeAutospacing="1" w:after="100" w:afterAutospacing="1"/>
    </w:pPr>
    <w:rPr>
      <w:rFonts w:ascii="宋体" w:hAnsi="宋体"/>
    </w:rPr>
  </w:style>
  <w:style w:type="paragraph" w:styleId="21">
    <w:name w:val="Body Text First Indent"/>
    <w:basedOn w:val="9"/>
    <w:qFormat/>
    <w:uiPriority w:val="0"/>
    <w:pPr>
      <w:ind w:firstLine="420" w:firstLineChars="100"/>
    </w:pPr>
  </w:style>
  <w:style w:type="paragraph" w:styleId="22">
    <w:name w:val="Body Text First Indent 2"/>
    <w:basedOn w:val="10"/>
    <w:next w:val="21"/>
    <w:qFormat/>
    <w:uiPriority w:val="0"/>
    <w:pPr>
      <w:keepNext w:val="0"/>
      <w:keepLines w:val="0"/>
      <w:widowControl w:val="0"/>
      <w:suppressLineNumbers w:val="0"/>
      <w:ind w:left="105" w:leftChars="50" w:firstLine="420" w:firstLineChars="200"/>
      <w:jc w:val="both"/>
    </w:pPr>
    <w:rPr>
      <w:rFonts w:hint="eastAsia" w:ascii="宋体" w:hAnsi="宋体" w:eastAsia="宋体" w:cs="Times New Roman"/>
      <w:kern w:val="2"/>
      <w:sz w:val="21"/>
      <w:szCs w:val="21"/>
      <w:lang w:val="en-US" w:eastAsia="zh-CN" w:bidi="ar"/>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rPr>
  </w:style>
  <w:style w:type="character" w:styleId="27">
    <w:name w:val="page number"/>
    <w:basedOn w:val="25"/>
    <w:qFormat/>
    <w:uiPriority w:val="99"/>
    <w:rPr>
      <w:rFonts w:cs="Times New Roman"/>
    </w:rPr>
  </w:style>
  <w:style w:type="character" w:styleId="28">
    <w:name w:val="Emphasis"/>
    <w:qFormat/>
    <w:uiPriority w:val="0"/>
  </w:style>
  <w:style w:type="character" w:styleId="29">
    <w:name w:val="Hyperlink"/>
    <w:basedOn w:val="25"/>
    <w:qFormat/>
    <w:uiPriority w:val="0"/>
    <w:rPr>
      <w:color w:val="0000FF"/>
      <w:u w:val="single"/>
    </w:rPr>
  </w:style>
  <w:style w:type="character" w:styleId="30">
    <w:name w:val="annotation reference"/>
    <w:unhideWhenUsed/>
    <w:qFormat/>
    <w:uiPriority w:val="0"/>
    <w:rPr>
      <w:sz w:val="21"/>
      <w:szCs w:val="21"/>
    </w:rPr>
  </w:style>
  <w:style w:type="paragraph" w:customStyle="1" w:styleId="31">
    <w:name w:val="表格文字"/>
    <w:basedOn w:val="1"/>
    <w:qFormat/>
    <w:uiPriority w:val="0"/>
    <w:pPr>
      <w:spacing w:before="25" w:after="25"/>
      <w:jc w:val="left"/>
    </w:pPr>
    <w:rPr>
      <w:bCs/>
      <w:spacing w:val="10"/>
      <w:kern w:val="0"/>
    </w:rPr>
  </w:style>
  <w:style w:type="paragraph" w:customStyle="1" w:styleId="3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Normal Indent"/>
    <w:basedOn w:val="1"/>
    <w:qFormat/>
    <w:uiPriority w:val="0"/>
    <w:pPr>
      <w:widowControl/>
      <w:ind w:firstLine="420" w:firstLineChars="200"/>
    </w:pPr>
  </w:style>
  <w:style w:type="character" w:customStyle="1" w:styleId="34">
    <w:name w:val="标题 4 Char"/>
    <w:link w:val="5"/>
    <w:qFormat/>
    <w:uiPriority w:val="0"/>
    <w:rPr>
      <w:rFonts w:ascii="Arial" w:hAnsi="Arial" w:eastAsia="黑体"/>
      <w:b/>
      <w:sz w:val="28"/>
    </w:rPr>
  </w:style>
  <w:style w:type="paragraph" w:customStyle="1" w:styleId="35">
    <w:name w:val="Normal Indent1"/>
    <w:basedOn w:val="1"/>
    <w:qFormat/>
    <w:uiPriority w:val="0"/>
    <w:pPr>
      <w:ind w:firstLine="420" w:firstLineChars="200"/>
    </w:p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style>
  <w:style w:type="paragraph" w:customStyle="1" w:styleId="38">
    <w:name w:val="Heading #2|1"/>
    <w:basedOn w:val="1"/>
    <w:qFormat/>
    <w:uiPriority w:val="0"/>
    <w:pPr>
      <w:widowControl w:val="0"/>
      <w:spacing w:after="580" w:line="634" w:lineRule="exact"/>
      <w:jc w:val="center"/>
      <w:outlineLvl w:val="1"/>
    </w:pPr>
    <w:rPr>
      <w:rFonts w:ascii="宋体" w:hAnsi="宋体"/>
      <w:sz w:val="44"/>
      <w:szCs w:val="44"/>
      <w:lang w:val="zh-TW" w:eastAsia="zh-TW" w:bidi="zh-TW"/>
    </w:rPr>
  </w:style>
  <w:style w:type="paragraph" w:customStyle="1" w:styleId="39">
    <w:name w:val="Body text|1"/>
    <w:basedOn w:val="1"/>
    <w:qFormat/>
    <w:uiPriority w:val="0"/>
    <w:pPr>
      <w:widowControl w:val="0"/>
      <w:spacing w:line="432" w:lineRule="auto"/>
      <w:ind w:firstLine="400"/>
    </w:pPr>
    <w:rPr>
      <w:rFonts w:ascii="宋体" w:hAnsi="宋体"/>
      <w:sz w:val="30"/>
      <w:szCs w:val="30"/>
      <w:lang w:val="zh-TW" w:eastAsia="zh-TW" w:bidi="zh-TW"/>
    </w:rPr>
  </w:style>
  <w:style w:type="paragraph" w:customStyle="1" w:styleId="40">
    <w:name w:val="Body text|2"/>
    <w:basedOn w:val="1"/>
    <w:qFormat/>
    <w:uiPriority w:val="0"/>
    <w:pPr>
      <w:widowControl w:val="0"/>
    </w:pPr>
    <w:rPr>
      <w:rFonts w:ascii="宋体" w:hAnsi="宋体"/>
      <w:sz w:val="26"/>
      <w:szCs w:val="26"/>
      <w:lang w:val="zh-TW" w:eastAsia="zh-TW" w:bidi="zh-TW"/>
    </w:rPr>
  </w:style>
  <w:style w:type="paragraph" w:customStyle="1" w:styleId="4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样式1"/>
    <w:basedOn w:val="2"/>
    <w:qFormat/>
    <w:uiPriority w:val="0"/>
    <w:pPr>
      <w:spacing w:before="240" w:after="240" w:line="440" w:lineRule="exact"/>
    </w:pPr>
    <w:rPr>
      <w:rFonts w:eastAsia="楷体"/>
      <w:sz w:val="36"/>
      <w:szCs w:val="28"/>
    </w:rPr>
  </w:style>
  <w:style w:type="character" w:customStyle="1" w:styleId="43">
    <w:name w:val="font31"/>
    <w:qFormat/>
    <w:uiPriority w:val="0"/>
    <w:rPr>
      <w:rFonts w:hint="eastAsia" w:ascii="宋体" w:hAnsi="宋体" w:eastAsia="宋体" w:cs="宋体"/>
      <w:color w:val="000000"/>
      <w:sz w:val="21"/>
      <w:szCs w:val="21"/>
      <w:u w:val="none"/>
    </w:rPr>
  </w:style>
  <w:style w:type="paragraph" w:styleId="44">
    <w:name w:val="List Paragraph"/>
    <w:basedOn w:val="1"/>
    <w:qFormat/>
    <w:uiPriority w:val="34"/>
    <w:pPr>
      <w:ind w:firstLine="420" w:firstLineChars="200"/>
    </w:pPr>
    <w:rPr>
      <w:rFonts w:ascii="Times New Roman" w:hAnsi="Times New Roman" w:cs="Times New Roman"/>
    </w:rPr>
  </w:style>
  <w:style w:type="paragraph" w:customStyle="1" w:styleId="45">
    <w:name w:val="缺省文本"/>
    <w:basedOn w:val="1"/>
    <w:qFormat/>
    <w:uiPriority w:val="0"/>
    <w:pPr>
      <w:spacing w:before="20" w:after="20" w:line="400" w:lineRule="exact"/>
      <w:ind w:firstLine="504"/>
    </w:pPr>
    <w:rPr>
      <w:rFonts w:ascii="Times New Roman" w:hAnsi="Times New Roman" w:cs="Times New Roman"/>
      <w:szCs w:val="20"/>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9">
    <w:name w:val="批注框文本 Char"/>
    <w:basedOn w:val="25"/>
    <w:link w:val="13"/>
    <w:qFormat/>
    <w:uiPriority w:val="0"/>
    <w:rPr>
      <w:rFonts w:ascii="Arial" w:hAnsi="Arial" w:cs="宋体"/>
      <w:snapToGrid w:val="0"/>
      <w:spacing w:val="-1"/>
      <w:sz w:val="18"/>
      <w:szCs w:val="18"/>
      <w:lang w:eastAsia="en-US"/>
    </w:rPr>
  </w:style>
  <w:style w:type="character" w:customStyle="1" w:styleId="50">
    <w:name w:val="文档结构图 Char"/>
    <w:basedOn w:val="25"/>
    <w:link w:val="7"/>
    <w:qFormat/>
    <w:uiPriority w:val="0"/>
    <w:rPr>
      <w:rFonts w:ascii="宋体" w:hAnsi="Arial" w:cs="宋体"/>
      <w:snapToGrid w:val="0"/>
      <w:spacing w:val="-1"/>
      <w:sz w:val="18"/>
      <w:szCs w:val="18"/>
      <w:lang w:eastAsia="en-US"/>
    </w:rPr>
  </w:style>
  <w:style w:type="paragraph" w:customStyle="1" w:styleId="51">
    <w:name w:val="正文缩进1"/>
    <w:basedOn w:val="1"/>
    <w:qFormat/>
    <w:uiPriority w:val="0"/>
    <w:pPr>
      <w:ind w:firstLine="420" w:firstLineChars="200"/>
    </w:pPr>
  </w:style>
  <w:style w:type="character" w:customStyle="1" w:styleId="52">
    <w:name w:val="zisiblack2"/>
    <w:qFormat/>
    <w:uiPriority w:val="99"/>
    <w:rPr>
      <w:rFonts w:cs="Times New Roman"/>
    </w:rPr>
  </w:style>
  <w:style w:type="character" w:customStyle="1" w:styleId="53">
    <w:name w:val="16"/>
    <w:basedOn w:val="25"/>
    <w:qFormat/>
    <w:uiPriority w:val="0"/>
    <w:rPr>
      <w:rFonts w:hint="default" w:ascii="Times New Roman" w:hAnsi="Times New Roman" w:cs="Times New Roman"/>
    </w:rPr>
  </w:style>
  <w:style w:type="character" w:customStyle="1" w:styleId="54">
    <w:name w:val="15"/>
    <w:basedOn w:val="25"/>
    <w:qFormat/>
    <w:uiPriority w:val="0"/>
    <w:rPr>
      <w:rFonts w:hint="default" w:ascii="Times New Roman" w:hAnsi="Times New Roman" w:cs="Times New Roman"/>
    </w:rPr>
  </w:style>
  <w:style w:type="character" w:customStyle="1" w:styleId="55">
    <w:name w:val="10"/>
    <w:basedOn w:val="25"/>
    <w:qFormat/>
    <w:uiPriority w:val="0"/>
    <w:rPr>
      <w:rFonts w:hint="default" w:ascii="Times New Roman" w:hAnsi="Times New Roman" w:cs="Times New Roman"/>
    </w:rPr>
  </w:style>
  <w:style w:type="character" w:customStyle="1" w:styleId="56">
    <w:name w:val="fontstyle01"/>
    <w:qFormat/>
    <w:uiPriority w:val="0"/>
    <w:rPr>
      <w:rFonts w:hint="eastAsia" w:ascii="宋体" w:hAnsi="宋体" w:eastAsia="宋体"/>
      <w:color w:val="000000"/>
      <w:sz w:val="24"/>
      <w:szCs w:val="24"/>
    </w:rPr>
  </w:style>
  <w:style w:type="paragraph" w:customStyle="1" w:styleId="57">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58">
    <w:name w:val="首行缩进"/>
    <w:basedOn w:val="1"/>
    <w:qFormat/>
    <w:uiPriority w:val="0"/>
    <w:pPr>
      <w:spacing w:line="300" w:lineRule="auto"/>
      <w:ind w:firstLine="420" w:firstLineChars="200"/>
    </w:pPr>
    <w:rPr>
      <w:rFonts w:eastAsia="方正书宋简体"/>
      <w:kern w:val="0"/>
      <w:sz w:val="20"/>
    </w:rPr>
  </w:style>
  <w:style w:type="paragraph" w:customStyle="1" w:styleId="59">
    <w:name w:val="一级条标题"/>
    <w:basedOn w:val="60"/>
    <w:next w:val="61"/>
    <w:qFormat/>
    <w:uiPriority w:val="0"/>
    <w:pPr>
      <w:outlineLvl w:val="2"/>
    </w:pPr>
    <w:rPr>
      <w:sz w:val="20"/>
    </w:rPr>
  </w:style>
  <w:style w:type="paragraph" w:customStyle="1" w:styleId="60">
    <w:name w:val="章标题"/>
    <w:next w:val="6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1">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62">
    <w:name w:val="Table Paragraph"/>
    <w:basedOn w:val="1"/>
    <w:qFormat/>
    <w:uiPriority w:val="1"/>
    <w:pPr>
      <w:jc w:val="left"/>
    </w:pPr>
    <w:rPr>
      <w:kern w:val="0"/>
      <w:sz w:val="22"/>
      <w:szCs w:val="22"/>
      <w:lang w:eastAsia="en-US"/>
    </w:rPr>
  </w:style>
  <w:style w:type="paragraph" w:customStyle="1" w:styleId="63">
    <w:name w:val="无间隔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18281</Words>
  <Characters>19507</Characters>
  <Lines>1</Lines>
  <Paragraphs>1</Paragraphs>
  <TotalTime>0</TotalTime>
  <ScaleCrop>false</ScaleCrop>
  <LinksUpToDate>false</LinksUpToDate>
  <CharactersWithSpaces>19614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2023-09-05T04:49:00Z</dcterms:created>
  <dc:creator>仰望</dc:creator>
  <cp:lastModifiedBy>xx</cp:lastModifiedBy>
  <cp:lastPrinted>2025-03-06T01:18:00Z</cp:lastPrinted>
  <dcterms:modified xsi:type="dcterms:W3CDTF">2025-09-30T09:04:08Z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2023-09-01T08:44:53Z</vt:filetime>
  </property>
  <property fmtid="{D5CDD505-2E9C-101B-9397-08002B2CF9AE}" pid="4" name="KSOProductBuildVer">
    <vt:lpwstr>2052-12.1.0.22529</vt:lpwstr>
  </property>
  <property fmtid="{D5CDD505-2E9C-101B-9397-08002B2CF9AE}" pid="5" name="ICV">
    <vt:lpwstr>2EC909245C1A41DBAA971D6A9481C27E_13</vt:lpwstr>
  </property>
  <property fmtid="{D5CDD505-2E9C-101B-9397-08002B2CF9AE}" pid="6" name="KSOTemplateDocerSaveRecord">
    <vt:lpwstr>eyJoZGlkIjoiYWRmMGFmNjNhNTVjYWYwZWEyYTM1MmZmMDU5MWNlZGYiLCJ1c2VySWQiOiI1Mjc2MDU0NTkifQ==</vt:lpwstr>
  </property>
</Properties>
</file>