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B9F9A">
      <w:pPr>
        <w:pStyle w:val="2"/>
        <w:pageBreakBefore w:val="0"/>
        <w:kinsoku/>
        <w:wordWrap/>
        <w:overflowPunct/>
        <w:topLinePunct w:val="0"/>
        <w:bidi w:val="0"/>
        <w:snapToGrid/>
        <w:spacing w:before="0" w:after="0" w:line="460" w:lineRule="exact"/>
        <w:rPr>
          <w:rFonts w:hint="eastAsia" w:ascii="宋体" w:hAnsi="宋体" w:eastAsia="宋体" w:cs="宋体"/>
          <w:color w:val="000000"/>
          <w:sz w:val="24"/>
          <w:szCs w:val="24"/>
        </w:rPr>
      </w:pPr>
      <w:bookmarkStart w:id="0" w:name="_Toc30437"/>
      <w:bookmarkStart w:id="1" w:name="_Toc31567"/>
      <w:bookmarkStart w:id="2" w:name="_Toc98514396"/>
      <w:r>
        <w:rPr>
          <w:rFonts w:hint="eastAsia" w:ascii="宋体" w:hAnsi="宋体" w:eastAsia="宋体" w:cs="宋体"/>
          <w:color w:val="000000"/>
          <w:sz w:val="24"/>
          <w:szCs w:val="24"/>
        </w:rPr>
        <w:t>一、标的清单</w:t>
      </w:r>
      <w:bookmarkEnd w:id="0"/>
      <w:bookmarkEnd w:id="1"/>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676"/>
        <w:gridCol w:w="1512"/>
        <w:gridCol w:w="1341"/>
        <w:gridCol w:w="1342"/>
      </w:tblGrid>
      <w:tr w14:paraId="1F0D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14:paraId="33F93DFC">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157" w:type="pct"/>
            <w:noWrap w:val="0"/>
            <w:vAlign w:val="center"/>
          </w:tcPr>
          <w:p w14:paraId="4616DB32">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设备名称</w:t>
            </w:r>
          </w:p>
        </w:tc>
        <w:tc>
          <w:tcPr>
            <w:tcW w:w="887" w:type="pct"/>
            <w:noWrap w:val="0"/>
            <w:vAlign w:val="center"/>
          </w:tcPr>
          <w:p w14:paraId="4395B87E">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787" w:type="pct"/>
            <w:noWrap w:val="0"/>
            <w:vAlign w:val="center"/>
          </w:tcPr>
          <w:p w14:paraId="224D10AE">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787" w:type="pct"/>
            <w:noWrap w:val="0"/>
            <w:vAlign w:val="center"/>
          </w:tcPr>
          <w:p w14:paraId="36F0EC2A">
            <w:pPr>
              <w:pageBreakBefore w:val="0"/>
              <w:kinsoku/>
              <w:wordWrap/>
              <w:overflowPunct/>
              <w:topLinePunct w:val="0"/>
              <w:bidi w:val="0"/>
              <w:snapToGrid/>
              <w:spacing w:line="460" w:lineRule="exact"/>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备注</w:t>
            </w:r>
          </w:p>
        </w:tc>
      </w:tr>
      <w:tr w14:paraId="71BD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14:paraId="0AFBC409">
            <w:pPr>
              <w:pageBreakBefore w:val="0"/>
              <w:kinsoku/>
              <w:wordWrap/>
              <w:overflowPunct/>
              <w:topLinePunct w:val="0"/>
              <w:bidi w:val="0"/>
              <w:snapToGrid/>
              <w:spacing w:line="4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157" w:type="pct"/>
            <w:noWrap w:val="0"/>
            <w:vAlign w:val="center"/>
          </w:tcPr>
          <w:p w14:paraId="20C0406F">
            <w:pPr>
              <w:pageBreakBefore w:val="0"/>
              <w:kinsoku/>
              <w:wordWrap/>
              <w:overflowPunct/>
              <w:topLinePunct w:val="0"/>
              <w:bidi w:val="0"/>
              <w:snapToGrid/>
              <w:spacing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自助借还书机器</w:t>
            </w:r>
          </w:p>
        </w:tc>
        <w:tc>
          <w:tcPr>
            <w:tcW w:w="887" w:type="pct"/>
            <w:noWrap w:val="0"/>
            <w:vAlign w:val="center"/>
          </w:tcPr>
          <w:p w14:paraId="2AC50948">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87" w:type="pct"/>
            <w:noWrap w:val="0"/>
            <w:vAlign w:val="center"/>
          </w:tcPr>
          <w:p w14:paraId="594798E9">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787" w:type="pct"/>
            <w:noWrap w:val="0"/>
            <w:vAlign w:val="center"/>
          </w:tcPr>
          <w:p w14:paraId="61F59867">
            <w:pPr>
              <w:pageBreakBefore w:val="0"/>
              <w:kinsoku/>
              <w:wordWrap/>
              <w:overflowPunct/>
              <w:topLinePunct w:val="0"/>
              <w:bidi w:val="0"/>
              <w:snapToGrid/>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020B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14:paraId="1AEFF828">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bookmarkStart w:id="3" w:name="_Toc6187"/>
            <w:bookmarkStart w:id="4" w:name="_Toc118471811"/>
            <w:bookmarkStart w:id="5" w:name="_Toc121066123"/>
            <w:r>
              <w:rPr>
                <w:rFonts w:hint="eastAsia" w:ascii="宋体" w:hAnsi="宋体" w:eastAsia="宋体" w:cs="宋体"/>
                <w:sz w:val="24"/>
                <w:szCs w:val="24"/>
                <w:lang w:val="en-US" w:eastAsia="zh-CN"/>
              </w:rPr>
              <w:t>2</w:t>
            </w:r>
          </w:p>
        </w:tc>
        <w:tc>
          <w:tcPr>
            <w:tcW w:w="2157" w:type="pct"/>
            <w:noWrap w:val="0"/>
            <w:vAlign w:val="center"/>
          </w:tcPr>
          <w:p w14:paraId="28BF1C42">
            <w:pPr>
              <w:pageBreakBefore w:val="0"/>
              <w:kinsoku/>
              <w:wordWrap/>
              <w:overflowPunct/>
              <w:topLinePunct w:val="0"/>
              <w:bidi w:val="0"/>
              <w:snapToGrid/>
              <w:spacing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升降式还书箱</w:t>
            </w:r>
          </w:p>
        </w:tc>
        <w:tc>
          <w:tcPr>
            <w:tcW w:w="887" w:type="pct"/>
            <w:noWrap w:val="0"/>
            <w:vAlign w:val="center"/>
          </w:tcPr>
          <w:p w14:paraId="1AB0BD81">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87" w:type="pct"/>
            <w:noWrap w:val="0"/>
            <w:vAlign w:val="center"/>
          </w:tcPr>
          <w:p w14:paraId="2059A7B0">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787" w:type="pct"/>
            <w:noWrap w:val="0"/>
            <w:vAlign w:val="center"/>
          </w:tcPr>
          <w:p w14:paraId="373C9EA2">
            <w:pPr>
              <w:pageBreakBefore w:val="0"/>
              <w:kinsoku/>
              <w:wordWrap/>
              <w:overflowPunct/>
              <w:topLinePunct w:val="0"/>
              <w:bidi w:val="0"/>
              <w:snapToGrid/>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634116A0">
      <w:pPr>
        <w:pageBreakBefore w:val="0"/>
        <w:kinsoku/>
        <w:wordWrap/>
        <w:overflowPunct/>
        <w:topLinePunct w:val="0"/>
        <w:bidi w:val="0"/>
        <w:snapToGrid/>
        <w:spacing w:line="460" w:lineRule="exact"/>
        <w:rPr>
          <w:rFonts w:hint="eastAsia" w:ascii="宋体" w:hAnsi="宋体" w:eastAsia="宋体" w:cs="宋体"/>
          <w:sz w:val="24"/>
          <w:szCs w:val="24"/>
        </w:rPr>
      </w:pPr>
    </w:p>
    <w:p w14:paraId="6C19FC3A">
      <w:pPr>
        <w:pStyle w:val="2"/>
        <w:pageBreakBefore w:val="0"/>
        <w:kinsoku/>
        <w:wordWrap/>
        <w:overflowPunct/>
        <w:topLinePunct w:val="0"/>
        <w:bidi w:val="0"/>
        <w:snapToGrid/>
        <w:spacing w:before="0" w:after="0" w:line="460" w:lineRule="exact"/>
        <w:rPr>
          <w:rFonts w:hint="eastAsia" w:ascii="宋体" w:hAnsi="宋体" w:eastAsia="宋体" w:cs="宋体"/>
          <w:color w:val="000000"/>
          <w:sz w:val="24"/>
          <w:szCs w:val="24"/>
        </w:rPr>
      </w:pPr>
      <w:bookmarkStart w:id="6" w:name="_Toc1969"/>
      <w:r>
        <w:rPr>
          <w:rFonts w:hint="eastAsia" w:ascii="宋体" w:hAnsi="宋体" w:eastAsia="宋体" w:cs="宋体"/>
          <w:color w:val="000000"/>
          <w:sz w:val="24"/>
          <w:szCs w:val="24"/>
        </w:rPr>
        <w:t>二、技术要求</w:t>
      </w:r>
      <w:bookmarkEnd w:id="3"/>
      <w:bookmarkEnd w:id="4"/>
      <w:bookmarkEnd w:id="5"/>
      <w:bookmarkEnd w:id="6"/>
      <w:bookmarkStart w:id="7" w:name="_GoBack"/>
      <w:bookmarkEnd w:id="7"/>
    </w:p>
    <w:bookmarkEnd w:id="2"/>
    <w:tbl>
      <w:tblPr>
        <w:tblStyle w:val="4"/>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902"/>
        <w:gridCol w:w="6929"/>
      </w:tblGrid>
      <w:tr w14:paraId="1F4A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304" w:type="pct"/>
            <w:noWrap w:val="0"/>
            <w:vAlign w:val="center"/>
          </w:tcPr>
          <w:p w14:paraId="733504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541" w:type="pct"/>
            <w:noWrap w:val="0"/>
            <w:vAlign w:val="center"/>
          </w:tcPr>
          <w:p w14:paraId="1D19EC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rPr>
              <w:t>设备名称</w:t>
            </w:r>
          </w:p>
        </w:tc>
        <w:tc>
          <w:tcPr>
            <w:tcW w:w="4153" w:type="pct"/>
            <w:noWrap w:val="0"/>
            <w:vAlign w:val="center"/>
          </w:tcPr>
          <w:p w14:paraId="59EC09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kern w:val="0"/>
                <w:sz w:val="24"/>
                <w:szCs w:val="24"/>
                <w:highlight w:val="none"/>
              </w:rPr>
            </w:pPr>
            <w:r>
              <w:rPr>
                <w:rFonts w:hint="eastAsia" w:ascii="宋体" w:hAnsi="宋体" w:eastAsia="宋体" w:cs="宋体"/>
                <w:b/>
                <w:sz w:val="24"/>
                <w:szCs w:val="24"/>
              </w:rPr>
              <w:t>技术参数要求</w:t>
            </w:r>
          </w:p>
        </w:tc>
      </w:tr>
      <w:tr w14:paraId="3BF7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304" w:type="pct"/>
            <w:noWrap w:val="0"/>
            <w:vAlign w:val="center"/>
          </w:tcPr>
          <w:p w14:paraId="73072C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1" w:type="pct"/>
            <w:noWrap w:val="0"/>
            <w:vAlign w:val="center"/>
          </w:tcPr>
          <w:p w14:paraId="1B66B9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自助借还书机器</w:t>
            </w:r>
          </w:p>
        </w:tc>
        <w:tc>
          <w:tcPr>
            <w:tcW w:w="4153" w:type="pct"/>
            <w:noWrap w:val="0"/>
            <w:vAlign w:val="center"/>
          </w:tcPr>
          <w:p w14:paraId="49F84222">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（一）功能要求</w:t>
            </w:r>
          </w:p>
          <w:p w14:paraId="6714182D">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1.设备具备自助借书、还书、续借和查询图书、扣费、人脸采集、人脸绑定、离校注销等功能；</w:t>
            </w:r>
          </w:p>
          <w:p w14:paraId="666ADF8D">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2.图形用户界面，并伴有语音、动画、文字同步提示；</w:t>
            </w:r>
          </w:p>
          <w:p w14:paraId="68E0CDBD">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3.为保证图书馆安静的阅读环境，自助借还机工作噪音需≤35dB(A)，符合GB/T3768-2017检测标准；</w:t>
            </w:r>
            <w:r>
              <w:rPr>
                <w:rFonts w:hint="eastAsia" w:ascii="宋体" w:hAnsi="宋体" w:eastAsia="宋体" w:cs="宋体"/>
                <w:b/>
                <w:bCs/>
                <w:sz w:val="24"/>
                <w:szCs w:val="24"/>
                <w:highlight w:val="none"/>
                <w:lang w:val="en-US" w:eastAsia="zh-CN"/>
              </w:rPr>
              <w:t>（响应文件中提供具有CMA或CNAS标识的检测报告复印件）</w:t>
            </w:r>
          </w:p>
          <w:p w14:paraId="20EEC643">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4.借书或还书操作的同时能够自动显示读者的借书情况列表，方便读者查阅核对；</w:t>
            </w:r>
          </w:p>
          <w:p w14:paraId="181E1181">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5.设备兼容国内外各种规格复合磁条，具有快速充、消磁和磁性状态验证功能，有效防止单张条码纸进行还书等不规范操作，提高图书流通安全性；</w:t>
            </w:r>
          </w:p>
          <w:p w14:paraId="45A60877">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6.设备具备防止抽换书籍功能，具有至少2个红外感应器，防止借阅时书籍被抽换；</w:t>
            </w:r>
          </w:p>
          <w:p w14:paraId="2F242354">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7.具备多书侦测功能，防止一码多借等不文明行为的发生，视频多书侦测技术不受磁条和书籍摆放方式的影响，识别准确率达95%以上。</w:t>
            </w:r>
            <w:r>
              <w:rPr>
                <w:rFonts w:hint="eastAsia" w:ascii="宋体" w:hAnsi="宋体" w:eastAsia="宋体" w:cs="宋体"/>
                <w:b/>
                <w:bCs/>
                <w:sz w:val="24"/>
                <w:szCs w:val="24"/>
                <w:highlight w:val="none"/>
                <w:lang w:val="en-US" w:eastAsia="zh-CN"/>
              </w:rPr>
              <w:t>（响应文件中提供具有CMA或CNAS标识的检测报告复印件）</w:t>
            </w:r>
          </w:p>
          <w:p w14:paraId="2E0B781B">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采用摆镜式条码扫描枪，图书摆放到指定位置后条码扫描枪自动读取书籍条码，识读时间＜0.1秒，可以识读我馆图书一维条码；当部分异形书籍的条形码在扫描枪扫描范围之外时，可通过手工拨动可伸缩扫描头来扫描书籍条形码，并能自动复位。</w:t>
            </w:r>
          </w:p>
          <w:p w14:paraId="2248E187">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9.支持web端监控查询设备借还记录及设备运行状态，配备web监控系统，</w:t>
            </w:r>
            <w:r>
              <w:rPr>
                <w:rFonts w:hint="eastAsia" w:ascii="宋体" w:hAnsi="宋体" w:eastAsia="宋体" w:cs="宋体"/>
                <w:b/>
                <w:bCs/>
                <w:sz w:val="24"/>
                <w:szCs w:val="24"/>
                <w:highlight w:val="none"/>
                <w:lang w:val="en-US" w:eastAsia="zh-CN"/>
              </w:rPr>
              <w:t>（响应文件中提供web监控系统相关的计算机软件著作权登记证书复印件）</w:t>
            </w:r>
          </w:p>
          <w:p w14:paraId="75CCB814">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10.支持标准SIP2协议，与图书馆图书管理系统无缝链接。</w:t>
            </w:r>
          </w:p>
          <w:p w14:paraId="54F85F94">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11.设备配备两路视频监控，一路监控拍摄读者，记录读者画像，另外一路监控拍摄图书，并同步记录证件号、姓名、条码号、书籍名称、操作时间、生成文件并保存。</w:t>
            </w:r>
            <w:r>
              <w:rPr>
                <w:rFonts w:hint="eastAsia" w:ascii="宋体" w:hAnsi="宋体" w:eastAsia="宋体" w:cs="宋体"/>
                <w:b/>
                <w:bCs/>
                <w:sz w:val="24"/>
                <w:szCs w:val="24"/>
                <w:highlight w:val="none"/>
                <w:lang w:val="en-US" w:eastAsia="zh-CN"/>
              </w:rPr>
              <w:t>（响应文件中提供具有CMA或CNAS标识的检测报告复印件）</w:t>
            </w:r>
          </w:p>
          <w:p w14:paraId="4409F892">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13.设备支持对接校园一卡通，使用一卡通电子证及实体卡身份认证方式，支持人脸识别认证方式。</w:t>
            </w:r>
          </w:p>
          <w:p w14:paraId="5ABD6F0E">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14.支持微信电子证借书、蓝牙借书功能，配备微信图书馆应用系统、蓝牙借书系统。</w:t>
            </w:r>
            <w:r>
              <w:rPr>
                <w:rFonts w:hint="eastAsia" w:ascii="宋体" w:hAnsi="宋体" w:eastAsia="宋体" w:cs="宋体"/>
                <w:b/>
                <w:bCs/>
                <w:sz w:val="24"/>
                <w:szCs w:val="24"/>
                <w:highlight w:val="none"/>
                <w:lang w:val="en-US" w:eastAsia="zh-CN"/>
              </w:rPr>
              <w:t>（响应文件中提供微信图书馆应用和蓝牙借书相关的计算机软件著作权登记证书复印件）</w:t>
            </w:r>
          </w:p>
          <w:p w14:paraId="5A943F2A">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15.支持远程报警功能：配备与自助借还书机系统相连的运行监视器，能在自助设备打印机缺纸、网络不通时文字提示，并发出声光提醒。</w:t>
            </w:r>
            <w:r>
              <w:rPr>
                <w:rFonts w:hint="eastAsia" w:ascii="宋体" w:hAnsi="宋体" w:eastAsia="宋体" w:cs="宋体"/>
                <w:b/>
                <w:bCs/>
                <w:sz w:val="24"/>
                <w:szCs w:val="24"/>
                <w:highlight w:val="none"/>
                <w:lang w:val="en-US" w:eastAsia="zh-CN"/>
              </w:rPr>
              <w:t>（响应文件中提供具有CMA或CNAS标识的检测报告复印件）</w:t>
            </w:r>
          </w:p>
          <w:p w14:paraId="3AED8AF4">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16.设备集成读卡器，读卡器兼容学校现有一卡通系统，实现读者自助刷卡、刷码借还图书，供应商负责相应接口费用。</w:t>
            </w:r>
          </w:p>
          <w:p w14:paraId="3E023B02">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（二）硬件要求</w:t>
            </w:r>
          </w:p>
          <w:p w14:paraId="082D113C">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1.CPU核心数：≥4核心、线程数：≥6线程、制作工艺：≤14纳米、主频：≥2.1GHz。</w:t>
            </w:r>
          </w:p>
          <w:p w14:paraId="65CF5FA2">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2.内存≥8G。</w:t>
            </w:r>
          </w:p>
          <w:p w14:paraId="165CA7C5">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3.硬盘≥512G。</w:t>
            </w:r>
          </w:p>
          <w:p w14:paraId="42E36B04">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4.显示器不低于21.5英寸触摸屏显示器。</w:t>
            </w:r>
          </w:p>
          <w:p w14:paraId="3AEFD23F">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5.充消检设备：快速充消检一体机。</w:t>
            </w:r>
          </w:p>
          <w:p w14:paraId="46AA7DDA">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6.摄像机：低照度高清微型黑白摄像机。</w:t>
            </w:r>
          </w:p>
          <w:p w14:paraId="523E96D0">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7.网络接口：10M/100M以太网接口。</w:t>
            </w:r>
          </w:p>
          <w:p w14:paraId="3CD86D40">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8.电源：220VAC,50HZ。</w:t>
            </w:r>
          </w:p>
        </w:tc>
      </w:tr>
      <w:tr w14:paraId="3DE1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304" w:type="pct"/>
            <w:noWrap w:val="0"/>
            <w:vAlign w:val="center"/>
          </w:tcPr>
          <w:p w14:paraId="77459B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1" w:type="pct"/>
            <w:noWrap w:val="0"/>
            <w:vAlign w:val="center"/>
          </w:tcPr>
          <w:p w14:paraId="5A4E8D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升降式还书箱</w:t>
            </w:r>
          </w:p>
        </w:tc>
        <w:tc>
          <w:tcPr>
            <w:tcW w:w="4153" w:type="pct"/>
            <w:noWrap w:val="0"/>
            <w:vAlign w:val="center"/>
          </w:tcPr>
          <w:p w14:paraId="2B8A422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1.结构牢固，整体设计不易攀爬，防止倾倒。前两万向耐磨静音轮，后两万向带刹车耐磨静音轮，方便载重时推动转向。</w:t>
            </w:r>
          </w:p>
          <w:p w14:paraId="22270A6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2.移动轻便，可方便移动，适用不同环境。</w:t>
            </w:r>
          </w:p>
          <w:p w14:paraId="703B388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3.图书容量≥100册。</w:t>
            </w:r>
          </w:p>
          <w:p w14:paraId="5EA1217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4.内部要求采用升降结构，根据负载自动升级，有效降低书籍滑落的撞击力，承载板可在图书重力作用下自行适度升降。</w:t>
            </w:r>
          </w:p>
          <w:p w14:paraId="17CC8AC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5.书箱内部隔板铺有毛毯保护书本，还书时，静音效果好。</w:t>
            </w:r>
          </w:p>
          <w:p w14:paraId="6C9633F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6.采用线性压簧机构，使得托架能随图书重量成线性比例升级。</w:t>
            </w:r>
          </w:p>
          <w:p w14:paraId="5D2B77C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7.材质要求：电泳铝型材，铝塑纤维板，毛毯，超静音耐磨脚轮，不锈钢无缝拉手。</w:t>
            </w:r>
          </w:p>
        </w:tc>
      </w:tr>
    </w:tbl>
    <w:p w14:paraId="526F2EA3">
      <w:r>
        <w:rPr>
          <w:rFonts w:hint="eastAsia" w:ascii="宋体" w:hAnsi="宋体" w:eastAsia="宋体" w:cs="宋体"/>
          <w:b/>
          <w:sz w:val="24"/>
          <w:szCs w:val="24"/>
          <w:highlight w:val="none"/>
        </w:rPr>
        <w:t>注：以上“技术要求”为实质性要求，必须完全满足，否则响应无效。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D59A2"/>
    <w:rsid w:val="0AAD59A2"/>
    <w:rsid w:val="3FA2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1352</Words>
  <Characters>1474</Characters>
  <Lines>0</Lines>
  <Paragraphs>0</Paragraphs>
  <TotalTime>0</TotalTime>
  <ScaleCrop>false</ScaleCrop>
  <LinksUpToDate>false</LinksUpToDate>
  <CharactersWithSpaces>1474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2025-10-29T08:32:00Z</dcterms:created>
  <dc:creator>包泽宁</dc:creator>
  <cp:lastModifiedBy>包泽宁</cp:lastModifiedBy>
  <dcterms:modified xsi:type="dcterms:W3CDTF">2025-10-29T08:54:16Z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C1483DE9348D4ADC99B8E42D9EE3E86D_11</vt:lpwstr>
  </property>
  <property fmtid="{D5CDD505-2E9C-101B-9397-08002B2CF9AE}" pid="4" name="KSOTemplateDocerSaveRecord">
    <vt:lpwstr>eyJoZGlkIjoiYzZlNTk0ZGE0NTJlNTIyMjhmNWIzMDM4NWQ1MmNkNjgiLCJ1c2VySWQiOiIyODQ3NjAxNjYifQ==</vt:lpwstr>
  </property>
</Properties>
</file>