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117C7">
      <w:pPr>
        <w:pStyle w:val="2"/>
      </w:pPr>
      <w:r>
        <w:rPr>
          <w:rFonts w:hint="eastAsia" w:ascii="宋体" w:hAnsi="宋体"/>
          <w:b/>
          <w:sz w:val="24"/>
          <w:highlight w:val="none"/>
          <w:lang w:eastAsia="zh-CN"/>
        </w:rPr>
        <w:t>（</w:t>
      </w:r>
      <w:r>
        <w:rPr>
          <w:rFonts w:hint="eastAsia" w:ascii="宋体" w:hAnsi="宋体"/>
          <w:b/>
          <w:sz w:val="24"/>
          <w:highlight w:val="none"/>
          <w:lang w:val="en-US" w:eastAsia="zh-CN"/>
        </w:rPr>
        <w:t>一</w:t>
      </w:r>
      <w:r>
        <w:rPr>
          <w:rFonts w:hint="eastAsia" w:ascii="宋体" w:hAnsi="宋体"/>
          <w:b/>
          <w:sz w:val="24"/>
          <w:highlight w:val="none"/>
          <w:lang w:eastAsia="zh-CN"/>
        </w:rPr>
        <w:t>）</w:t>
      </w:r>
      <w:r>
        <w:rPr>
          <w:rFonts w:hint="eastAsia" w:ascii="宋体" w:hAnsi="宋体"/>
          <w:b/>
          <w:sz w:val="24"/>
          <w:highlight w:val="none"/>
          <w:lang w:val="en-US" w:eastAsia="zh-CN"/>
        </w:rPr>
        <w:t>编制依据</w:t>
      </w:r>
    </w:p>
    <w:p w14:paraId="065D05E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工程概况：</w:t>
      </w:r>
    </w:p>
    <w:p w14:paraId="0B0076D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本工程为</w:t>
      </w:r>
      <w:r>
        <w:rPr>
          <w:rFonts w:hint="eastAsia" w:ascii="宋体" w:hAnsi="宋体" w:eastAsia="宋体" w:cs="宋体"/>
          <w:sz w:val="24"/>
          <w:szCs w:val="24"/>
          <w:lang w:eastAsia="zh-CN"/>
        </w:rPr>
        <w:t>人才公寓（含复式洋房）装修建筑垃圾清运</w:t>
      </w:r>
      <w:r>
        <w:rPr>
          <w:rFonts w:hint="eastAsia" w:ascii="宋体" w:hAnsi="宋体" w:eastAsia="宋体" w:cs="宋体"/>
          <w:sz w:val="24"/>
          <w:szCs w:val="24"/>
        </w:rPr>
        <w:t>，项目位于</w:t>
      </w:r>
      <w:r>
        <w:rPr>
          <w:rFonts w:hint="eastAsia" w:ascii="宋体" w:hAnsi="宋体" w:eastAsia="宋体" w:cs="宋体"/>
          <w:sz w:val="24"/>
          <w:szCs w:val="24"/>
          <w:lang w:val="en-US" w:eastAsia="zh-CN"/>
        </w:rPr>
        <w:t>南昌市新建区湾里校区，</w:t>
      </w:r>
      <w:r>
        <w:rPr>
          <w:rFonts w:hint="eastAsia" w:ascii="宋体" w:hAnsi="宋体" w:eastAsia="宋体" w:cs="宋体"/>
          <w:sz w:val="24"/>
          <w:szCs w:val="24"/>
        </w:rPr>
        <w:t>本次编制包括</w:t>
      </w:r>
      <w:r>
        <w:rPr>
          <w:rFonts w:hint="eastAsia" w:ascii="宋体" w:hAnsi="宋体" w:eastAsia="宋体" w:cs="宋体"/>
          <w:sz w:val="24"/>
          <w:szCs w:val="24"/>
          <w:lang w:eastAsia="zh-CN"/>
        </w:rPr>
        <w:t>人才公寓（含复式洋房）装修建筑垃圾清运</w:t>
      </w:r>
      <w:r>
        <w:rPr>
          <w:rFonts w:hint="eastAsia" w:ascii="宋体" w:hAnsi="宋体" w:eastAsia="宋体" w:cs="宋体"/>
          <w:sz w:val="24"/>
          <w:szCs w:val="24"/>
          <w:lang w:val="en-US" w:eastAsia="zh-CN"/>
        </w:rPr>
        <w:t>工程</w:t>
      </w:r>
      <w:r>
        <w:rPr>
          <w:rFonts w:hint="eastAsia" w:ascii="宋体" w:hAnsi="宋体" w:eastAsia="宋体" w:cs="宋体"/>
          <w:sz w:val="24"/>
          <w:szCs w:val="24"/>
        </w:rPr>
        <w:t>。</w:t>
      </w:r>
    </w:p>
    <w:p w14:paraId="72B68F2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工程范围：</w:t>
      </w:r>
    </w:p>
    <w:p w14:paraId="5609B38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w:t>
      </w:r>
      <w:r>
        <w:rPr>
          <w:rFonts w:hint="eastAsia" w:ascii="宋体" w:hAnsi="宋体" w:eastAsia="宋体" w:cs="宋体"/>
          <w:sz w:val="24"/>
          <w:szCs w:val="24"/>
          <w:lang w:val="en-US" w:eastAsia="zh-CN"/>
        </w:rPr>
        <w:t>工程量清单范围内</w:t>
      </w:r>
      <w:r>
        <w:rPr>
          <w:rFonts w:hint="eastAsia" w:ascii="宋体" w:hAnsi="宋体" w:eastAsia="宋体" w:cs="宋体"/>
          <w:sz w:val="24"/>
          <w:szCs w:val="24"/>
        </w:rPr>
        <w:t>的</w:t>
      </w:r>
      <w:r>
        <w:rPr>
          <w:rFonts w:hint="eastAsia" w:ascii="宋体" w:hAnsi="宋体" w:eastAsia="宋体" w:cs="宋体"/>
          <w:sz w:val="24"/>
          <w:szCs w:val="24"/>
          <w:lang w:val="en-US" w:eastAsia="zh-CN"/>
        </w:rPr>
        <w:t>内容。</w:t>
      </w:r>
    </w:p>
    <w:p w14:paraId="493123D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编制依据：</w:t>
      </w:r>
    </w:p>
    <w:p w14:paraId="7FCFEBF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（建设工程工程量清单计价规范）《GB50500—2013》、《</w:t>
      </w:r>
      <w:r>
        <w:rPr>
          <w:rFonts w:hint="eastAsia" w:ascii="宋体" w:hAnsi="宋体" w:eastAsia="宋体" w:cs="宋体"/>
          <w:sz w:val="24"/>
          <w:szCs w:val="24"/>
          <w:lang w:eastAsia="zh-CN"/>
        </w:rPr>
        <w:t>江西省</w:t>
      </w:r>
      <w:r>
        <w:rPr>
          <w:rFonts w:hint="eastAsia" w:ascii="宋体" w:hAnsi="宋体" w:eastAsia="宋体" w:cs="宋体"/>
          <w:sz w:val="24"/>
          <w:szCs w:val="24"/>
          <w:lang w:val="en-US" w:eastAsia="zh-CN"/>
        </w:rPr>
        <w:t>房屋建筑与装饰</w:t>
      </w:r>
      <w:r>
        <w:rPr>
          <w:rFonts w:hint="eastAsia" w:ascii="宋体" w:hAnsi="宋体" w:eastAsia="宋体" w:cs="宋体"/>
          <w:sz w:val="24"/>
          <w:szCs w:val="24"/>
          <w:lang w:eastAsia="zh-CN"/>
        </w:rPr>
        <w:t>工程消耗量定额及统一基价表（</w:t>
      </w:r>
      <w:r>
        <w:rPr>
          <w:rFonts w:hint="eastAsia" w:ascii="宋体" w:hAnsi="宋体" w:eastAsia="宋体" w:cs="宋体"/>
          <w:sz w:val="24"/>
          <w:szCs w:val="24"/>
          <w:lang w:val="en-US" w:eastAsia="zh-CN"/>
        </w:rPr>
        <w:t>2017）》、</w:t>
      </w:r>
      <w:r>
        <w:rPr>
          <w:rFonts w:hint="eastAsia" w:ascii="宋体" w:hAnsi="宋体" w:eastAsia="宋体" w:cs="宋体"/>
          <w:sz w:val="24"/>
          <w:szCs w:val="24"/>
        </w:rPr>
        <w:t>《</w:t>
      </w:r>
      <w:r>
        <w:rPr>
          <w:rFonts w:hint="eastAsia" w:ascii="宋体" w:hAnsi="宋体" w:eastAsia="宋体" w:cs="宋体"/>
          <w:sz w:val="24"/>
          <w:szCs w:val="24"/>
          <w:lang w:eastAsia="zh-CN"/>
        </w:rPr>
        <w:t>江西省市政工程消耗量定额及统一基价表（</w:t>
      </w:r>
      <w:r>
        <w:rPr>
          <w:rFonts w:hint="eastAsia" w:ascii="宋体" w:hAnsi="宋体" w:eastAsia="宋体" w:cs="宋体"/>
          <w:sz w:val="24"/>
          <w:szCs w:val="24"/>
          <w:lang w:val="en-US" w:eastAsia="zh-CN"/>
        </w:rPr>
        <w:t>2017）》、</w:t>
      </w:r>
      <w:r>
        <w:rPr>
          <w:rFonts w:hint="eastAsia" w:ascii="宋体" w:hAnsi="宋体" w:eastAsia="宋体" w:cs="宋体"/>
          <w:sz w:val="24"/>
          <w:szCs w:val="24"/>
        </w:rPr>
        <w:t>《</w:t>
      </w:r>
      <w:r>
        <w:rPr>
          <w:rFonts w:hint="eastAsia" w:ascii="宋体" w:hAnsi="宋体" w:eastAsia="宋体" w:cs="宋体"/>
          <w:sz w:val="24"/>
          <w:szCs w:val="24"/>
          <w:lang w:eastAsia="zh-CN"/>
        </w:rPr>
        <w:t>江西省</w:t>
      </w:r>
      <w:r>
        <w:rPr>
          <w:rFonts w:hint="eastAsia" w:ascii="宋体" w:hAnsi="宋体" w:eastAsia="宋体" w:cs="宋体"/>
          <w:sz w:val="24"/>
          <w:szCs w:val="24"/>
          <w:lang w:val="en-US" w:eastAsia="zh-CN"/>
        </w:rPr>
        <w:t>园林绿化</w:t>
      </w:r>
      <w:r>
        <w:rPr>
          <w:rFonts w:hint="eastAsia" w:ascii="宋体" w:hAnsi="宋体" w:eastAsia="宋体" w:cs="宋体"/>
          <w:sz w:val="24"/>
          <w:szCs w:val="24"/>
          <w:lang w:eastAsia="zh-CN"/>
        </w:rPr>
        <w:t>工程消耗量定额及</w:t>
      </w:r>
      <w:r>
        <w:rPr>
          <w:rFonts w:hint="eastAsia" w:ascii="宋体" w:hAnsi="宋体" w:eastAsia="宋体" w:cs="宋体"/>
          <w:sz w:val="24"/>
          <w:szCs w:val="24"/>
          <w:lang w:val="en-US" w:eastAsia="zh-CN"/>
        </w:rPr>
        <w:t>统一计价表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2023）》</w:t>
      </w:r>
      <w:r>
        <w:rPr>
          <w:rFonts w:hint="eastAsia" w:ascii="宋体" w:hAnsi="宋体" w:eastAsia="宋体" w:cs="宋体"/>
          <w:sz w:val="24"/>
          <w:szCs w:val="24"/>
        </w:rPr>
        <w:t>；</w:t>
      </w:r>
    </w:p>
    <w:p w14:paraId="47F2FFA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人工单价调差：</w:t>
      </w:r>
      <w:r>
        <w:rPr>
          <w:rFonts w:hint="eastAsia" w:ascii="宋体" w:hAnsi="宋体" w:eastAsia="宋体" w:cs="宋体"/>
          <w:sz w:val="24"/>
          <w:szCs w:val="24"/>
          <w:lang w:val="en-US" w:eastAsia="zh-CN"/>
        </w:rPr>
        <w:t>按赣建价（2020）5号文，调整</w:t>
      </w:r>
      <w:r>
        <w:rPr>
          <w:rFonts w:hint="eastAsia" w:ascii="宋体" w:hAnsi="宋体" w:eastAsia="宋体" w:cs="宋体"/>
          <w:sz w:val="24"/>
          <w:szCs w:val="24"/>
        </w:rPr>
        <w:t>综合工日</w:t>
      </w:r>
      <w:r>
        <w:rPr>
          <w:rFonts w:hint="eastAsia" w:ascii="宋体" w:hAnsi="宋体" w:eastAsia="宋体" w:cs="宋体"/>
          <w:sz w:val="24"/>
          <w:szCs w:val="24"/>
          <w:lang w:val="en-US" w:eastAsia="zh-CN"/>
        </w:rPr>
        <w:t>100</w:t>
      </w:r>
      <w:r>
        <w:rPr>
          <w:rFonts w:hint="eastAsia" w:ascii="宋体" w:hAnsi="宋体" w:eastAsia="宋体" w:cs="宋体"/>
          <w:sz w:val="24"/>
          <w:szCs w:val="24"/>
        </w:rPr>
        <w:t>元/工日</w:t>
      </w:r>
      <w:r>
        <w:rPr>
          <w:rFonts w:hint="eastAsia" w:ascii="宋体" w:hAnsi="宋体" w:eastAsia="宋体" w:cs="宋体"/>
          <w:sz w:val="24"/>
          <w:szCs w:val="24"/>
          <w:lang w:val="en-US" w:eastAsia="zh-CN"/>
        </w:rPr>
        <w:t>；</w:t>
      </w:r>
    </w:p>
    <w:p w14:paraId="71CE699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本工程税金按9%编入造价；</w:t>
      </w:r>
    </w:p>
    <w:p w14:paraId="4289128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本工程材料价格依据《江西省南昌市造价信息》202</w:t>
      </w:r>
      <w:r>
        <w:rPr>
          <w:rFonts w:hint="eastAsia" w:ascii="宋体" w:hAnsi="宋体" w:eastAsia="宋体" w:cs="宋体"/>
          <w:sz w:val="24"/>
          <w:szCs w:val="24"/>
          <w:lang w:val="en-US" w:eastAsia="zh-CN"/>
        </w:rPr>
        <w:t>5</w:t>
      </w:r>
      <w:r>
        <w:rPr>
          <w:rFonts w:hint="eastAsia" w:ascii="宋体" w:hAnsi="宋体" w:eastAsia="宋体" w:cs="宋体"/>
          <w:sz w:val="24"/>
          <w:szCs w:val="24"/>
        </w:rPr>
        <w:t>年第</w:t>
      </w:r>
      <w:r>
        <w:rPr>
          <w:rFonts w:hint="eastAsia" w:ascii="宋体" w:hAnsi="宋体" w:eastAsia="宋体" w:cs="宋体"/>
          <w:sz w:val="24"/>
          <w:szCs w:val="24"/>
          <w:lang w:val="en-US" w:eastAsia="zh-CN"/>
        </w:rPr>
        <w:t>2</w:t>
      </w:r>
      <w:r>
        <w:rPr>
          <w:rFonts w:hint="eastAsia" w:ascii="宋体" w:hAnsi="宋体" w:eastAsia="宋体" w:cs="宋体"/>
          <w:sz w:val="24"/>
          <w:szCs w:val="24"/>
        </w:rPr>
        <w:t>期价格信息及市场价格，无信息价材料或定额中没有的均以市场价计入；</w:t>
      </w:r>
    </w:p>
    <w:p w14:paraId="2BCFB5B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（5）本次编制按赣建价【2019】7号文计取扬尘治理费；</w:t>
      </w:r>
    </w:p>
    <w:p w14:paraId="3B005EE6">
      <w:pPr>
        <w:pStyle w:val="2"/>
      </w:pPr>
    </w:p>
    <w:p w14:paraId="761A4884">
      <w:pPr>
        <w:pStyle w:val="2"/>
        <w:rPr>
          <w:rFonts w:hint="eastAsia" w:ascii="宋体" w:hAnsi="宋体" w:eastAsia="宋体" w:cs="Times New Roman"/>
          <w:b/>
          <w:sz w:val="24"/>
          <w:highlight w:val="none"/>
          <w:lang w:val="en-US" w:eastAsia="zh-CN"/>
        </w:rPr>
      </w:pPr>
      <w:r>
        <w:rPr>
          <w:rFonts w:hint="eastAsia" w:ascii="宋体" w:hAnsi="宋体" w:eastAsia="宋体" w:cs="Times New Roman"/>
          <w:b/>
          <w:sz w:val="24"/>
          <w:highlight w:val="none"/>
          <w:lang w:eastAsia="zh-CN"/>
        </w:rPr>
        <w:t>（</w:t>
      </w:r>
      <w:r>
        <w:rPr>
          <w:rFonts w:hint="eastAsia" w:ascii="宋体" w:hAnsi="宋体" w:eastAsia="宋体" w:cs="Times New Roman"/>
          <w:b/>
          <w:sz w:val="24"/>
          <w:highlight w:val="none"/>
          <w:lang w:val="en-US" w:eastAsia="zh-CN"/>
        </w:rPr>
        <w:t>二</w:t>
      </w:r>
      <w:r>
        <w:rPr>
          <w:rFonts w:hint="eastAsia" w:ascii="宋体" w:hAnsi="宋体" w:eastAsia="宋体" w:cs="Times New Roman"/>
          <w:b/>
          <w:sz w:val="24"/>
          <w:highlight w:val="none"/>
          <w:lang w:eastAsia="zh-CN"/>
        </w:rPr>
        <w:t>）工程量清单</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0"/>
        <w:gridCol w:w="1416"/>
        <w:gridCol w:w="1162"/>
        <w:gridCol w:w="1211"/>
        <w:gridCol w:w="416"/>
        <w:gridCol w:w="214"/>
        <w:gridCol w:w="513"/>
        <w:gridCol w:w="893"/>
        <w:gridCol w:w="14"/>
        <w:gridCol w:w="977"/>
        <w:gridCol w:w="1086"/>
      </w:tblGrid>
      <w:tr w14:paraId="316C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noWrap w:val="0"/>
            <w:vAlign w:val="center"/>
          </w:tcPr>
          <w:p w14:paraId="54EB7D4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4542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27" w:type="pct"/>
            <w:gridSpan w:val="6"/>
            <w:tcBorders>
              <w:top w:val="nil"/>
              <w:left w:val="nil"/>
              <w:bottom w:val="nil"/>
              <w:right w:val="nil"/>
            </w:tcBorders>
            <w:shd w:val="clear" w:color="FFFFFF" w:fill="FFFFFF"/>
            <w:noWrap w:val="0"/>
            <w:vAlign w:val="bottom"/>
          </w:tcPr>
          <w:p w14:paraId="2483B48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工程名称：人才公寓（含复式洋房）装修建筑垃圾清运</w:t>
            </w:r>
          </w:p>
        </w:tc>
        <w:tc>
          <w:tcPr>
            <w:tcW w:w="846" w:type="pct"/>
            <w:gridSpan w:val="3"/>
            <w:tcBorders>
              <w:top w:val="nil"/>
              <w:left w:val="nil"/>
              <w:bottom w:val="nil"/>
              <w:right w:val="nil"/>
            </w:tcBorders>
            <w:shd w:val="clear" w:color="FFFFFF" w:fill="FFFFFF"/>
            <w:noWrap w:val="0"/>
            <w:vAlign w:val="bottom"/>
          </w:tcPr>
          <w:p w14:paraId="4CB439C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25" w:type="pct"/>
            <w:gridSpan w:val="2"/>
            <w:tcBorders>
              <w:top w:val="nil"/>
              <w:left w:val="nil"/>
              <w:bottom w:val="nil"/>
              <w:right w:val="nil"/>
            </w:tcBorders>
            <w:shd w:val="clear" w:color="FFFFFF" w:fill="FFFFFF"/>
            <w:noWrap w:val="0"/>
            <w:vAlign w:val="bottom"/>
          </w:tcPr>
          <w:p w14:paraId="4EB1805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2D96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0"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2DAD4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6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60E0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88"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4202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17"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B151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7FD1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4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DE8D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761" w:type="pct"/>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40BC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768D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0"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5AEEB5D3">
            <w:pPr>
              <w:jc w:val="center"/>
              <w:rPr>
                <w:rFonts w:hint="eastAsia" w:ascii="宋体" w:hAnsi="宋体" w:eastAsia="宋体" w:cs="宋体"/>
                <w:i w:val="0"/>
                <w:iCs w:val="0"/>
                <w:color w:val="000000"/>
                <w:sz w:val="20"/>
                <w:szCs w:val="20"/>
                <w:u w:val="none"/>
              </w:rPr>
            </w:pPr>
          </w:p>
        </w:tc>
        <w:tc>
          <w:tcPr>
            <w:tcW w:w="76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FC860DD">
            <w:pPr>
              <w:jc w:val="center"/>
              <w:rPr>
                <w:rFonts w:hint="eastAsia" w:ascii="宋体" w:hAnsi="宋体" w:eastAsia="宋体" w:cs="宋体"/>
                <w:i w:val="0"/>
                <w:iCs w:val="0"/>
                <w:color w:val="000000"/>
                <w:sz w:val="20"/>
                <w:szCs w:val="20"/>
                <w:u w:val="none"/>
              </w:rPr>
            </w:pPr>
          </w:p>
        </w:tc>
        <w:tc>
          <w:tcPr>
            <w:tcW w:w="688"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A5475A4">
            <w:pPr>
              <w:jc w:val="center"/>
              <w:rPr>
                <w:rFonts w:hint="eastAsia" w:ascii="宋体" w:hAnsi="宋体" w:eastAsia="宋体" w:cs="宋体"/>
                <w:i w:val="0"/>
                <w:iCs w:val="0"/>
                <w:color w:val="000000"/>
                <w:sz w:val="20"/>
                <w:szCs w:val="20"/>
                <w:u w:val="none"/>
              </w:rPr>
            </w:pPr>
          </w:p>
        </w:tc>
        <w:tc>
          <w:tcPr>
            <w:tcW w:w="717"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9BED30B">
            <w:pPr>
              <w:jc w:val="center"/>
              <w:rPr>
                <w:rFonts w:hint="eastAsia" w:ascii="宋体" w:hAnsi="宋体" w:eastAsia="宋体" w:cs="宋体"/>
                <w:i w:val="0"/>
                <w:iCs w:val="0"/>
                <w:color w:val="000000"/>
                <w:sz w:val="20"/>
                <w:szCs w:val="20"/>
                <w:u w:val="none"/>
              </w:rPr>
            </w:pPr>
          </w:p>
        </w:tc>
        <w:tc>
          <w:tcPr>
            <w:tcW w:w="24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0C49F6E">
            <w:pPr>
              <w:jc w:val="center"/>
              <w:rPr>
                <w:rFonts w:hint="eastAsia" w:ascii="宋体" w:hAnsi="宋体" w:eastAsia="宋体" w:cs="宋体"/>
                <w:i w:val="0"/>
                <w:iCs w:val="0"/>
                <w:color w:val="000000"/>
                <w:sz w:val="20"/>
                <w:szCs w:val="20"/>
                <w:u w:val="none"/>
              </w:rPr>
            </w:pPr>
          </w:p>
        </w:tc>
        <w:tc>
          <w:tcPr>
            <w:tcW w:w="4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BB0F905">
            <w:pPr>
              <w:jc w:val="center"/>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E13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84E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642"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1854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w:t>
            </w:r>
          </w:p>
        </w:tc>
      </w:tr>
      <w:tr w14:paraId="1CF0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0683C2C">
            <w:pPr>
              <w:jc w:val="center"/>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AACB86">
            <w:pPr>
              <w:jc w:val="left"/>
              <w:rPr>
                <w:rFonts w:hint="eastAsia" w:ascii="宋体" w:hAnsi="宋体" w:eastAsia="宋体" w:cs="宋体"/>
                <w:i w:val="0"/>
                <w:iCs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1BD1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71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6637A9">
            <w:pPr>
              <w:jc w:val="left"/>
              <w:rPr>
                <w:rFonts w:hint="eastAsia" w:ascii="宋体" w:hAnsi="宋体" w:eastAsia="宋体" w:cs="宋体"/>
                <w:i w:val="0"/>
                <w:iCs w:val="0"/>
                <w:color w:val="000000"/>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4DBBB4">
            <w:pPr>
              <w:jc w:val="left"/>
              <w:rPr>
                <w:rFonts w:hint="eastAsia" w:ascii="宋体" w:hAnsi="宋体" w:eastAsia="宋体" w:cs="宋体"/>
                <w:i w:val="0"/>
                <w:iCs w:val="0"/>
                <w:color w:val="000000"/>
                <w:sz w:val="20"/>
                <w:szCs w:val="20"/>
                <w:u w:val="none"/>
              </w:rPr>
            </w:pPr>
          </w:p>
        </w:tc>
        <w:tc>
          <w:tcPr>
            <w:tcW w:w="44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D1AD1C">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F99CCF">
            <w:pPr>
              <w:jc w:val="right"/>
              <w:rPr>
                <w:rFonts w:hint="eastAsia" w:ascii="宋体" w:hAnsi="宋体" w:eastAsia="宋体" w:cs="宋体"/>
                <w:i w:val="0"/>
                <w:iCs w:val="0"/>
                <w:color w:val="000000"/>
                <w:sz w:val="20"/>
                <w:szCs w:val="20"/>
                <w:u w:val="none"/>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468F15">
            <w:pPr>
              <w:jc w:val="right"/>
              <w:rPr>
                <w:rFonts w:hint="eastAsia" w:ascii="宋体" w:hAnsi="宋体" w:eastAsia="宋体" w:cs="宋体"/>
                <w:i w:val="0"/>
                <w:iCs w:val="0"/>
                <w:color w:val="000000"/>
                <w:sz w:val="20"/>
                <w:szCs w:val="20"/>
                <w:u w:val="none"/>
              </w:rPr>
            </w:pPr>
          </w:p>
        </w:tc>
        <w:tc>
          <w:tcPr>
            <w:tcW w:w="642"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FE012FA">
            <w:pPr>
              <w:jc w:val="right"/>
              <w:rPr>
                <w:rFonts w:hint="eastAsia" w:ascii="宋体" w:hAnsi="宋体" w:eastAsia="宋体" w:cs="宋体"/>
                <w:i w:val="0"/>
                <w:iCs w:val="0"/>
                <w:color w:val="000000"/>
                <w:sz w:val="20"/>
                <w:szCs w:val="20"/>
                <w:u w:val="none"/>
              </w:rPr>
            </w:pPr>
          </w:p>
        </w:tc>
      </w:tr>
      <w:tr w14:paraId="124E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9DF7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3F0A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6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AE2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建筑垃圾外运</w:t>
            </w:r>
          </w:p>
        </w:tc>
        <w:tc>
          <w:tcPr>
            <w:tcW w:w="71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F9B6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建筑垃圾由校内建筑垃圾临时堆放处外运至校外，包含建筑垃圾临时堆放处附近的建筑垃圾清扫整理堆放，由甲方安排定期清运，运距自行考虑，结算不予调整</w:t>
            </w:r>
          </w:p>
        </w:tc>
        <w:tc>
          <w:tcPr>
            <w:tcW w:w="24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825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44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7DB2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5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7E4605">
            <w:pPr>
              <w:jc w:val="right"/>
              <w:rPr>
                <w:rFonts w:hint="eastAsia" w:ascii="宋体" w:hAnsi="宋体" w:eastAsia="宋体" w:cs="宋体"/>
                <w:i w:val="0"/>
                <w:iCs w:val="0"/>
                <w:color w:val="000000"/>
                <w:sz w:val="20"/>
                <w:szCs w:val="20"/>
                <w:u w:val="none"/>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8ED132">
            <w:pPr>
              <w:jc w:val="right"/>
              <w:rPr>
                <w:rFonts w:hint="eastAsia" w:ascii="宋体" w:hAnsi="宋体" w:eastAsia="宋体" w:cs="宋体"/>
                <w:i w:val="0"/>
                <w:iCs w:val="0"/>
                <w:color w:val="000000"/>
                <w:sz w:val="20"/>
                <w:szCs w:val="20"/>
                <w:u w:val="none"/>
              </w:rPr>
            </w:pPr>
          </w:p>
        </w:tc>
        <w:tc>
          <w:tcPr>
            <w:tcW w:w="642"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E407FC2">
            <w:pPr>
              <w:jc w:val="right"/>
              <w:rPr>
                <w:rFonts w:hint="eastAsia" w:ascii="宋体" w:hAnsi="宋体" w:eastAsia="宋体" w:cs="宋体"/>
                <w:i w:val="0"/>
                <w:iCs w:val="0"/>
                <w:color w:val="000000"/>
                <w:sz w:val="20"/>
                <w:szCs w:val="20"/>
                <w:u w:val="none"/>
              </w:rPr>
            </w:pPr>
          </w:p>
        </w:tc>
      </w:tr>
      <w:tr w14:paraId="5976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AE22139">
            <w:pPr>
              <w:jc w:val="center"/>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CDC4A1">
            <w:pPr>
              <w:jc w:val="left"/>
              <w:rPr>
                <w:rFonts w:hint="eastAsia" w:ascii="宋体" w:hAnsi="宋体" w:eastAsia="宋体" w:cs="宋体"/>
                <w:i w:val="0"/>
                <w:iCs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B53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71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71A686">
            <w:pPr>
              <w:jc w:val="left"/>
              <w:rPr>
                <w:rFonts w:hint="eastAsia" w:ascii="宋体" w:hAnsi="宋体" w:eastAsia="宋体" w:cs="宋体"/>
                <w:i w:val="0"/>
                <w:iCs w:val="0"/>
                <w:color w:val="000000"/>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6F41AE">
            <w:pPr>
              <w:jc w:val="left"/>
              <w:rPr>
                <w:rFonts w:hint="eastAsia" w:ascii="宋体" w:hAnsi="宋体" w:eastAsia="宋体" w:cs="宋体"/>
                <w:i w:val="0"/>
                <w:iCs w:val="0"/>
                <w:color w:val="000000"/>
                <w:sz w:val="20"/>
                <w:szCs w:val="20"/>
                <w:u w:val="none"/>
              </w:rPr>
            </w:pPr>
          </w:p>
        </w:tc>
        <w:tc>
          <w:tcPr>
            <w:tcW w:w="44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71528A">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01DCFA">
            <w:pPr>
              <w:jc w:val="right"/>
              <w:rPr>
                <w:rFonts w:hint="eastAsia" w:ascii="宋体" w:hAnsi="宋体" w:eastAsia="宋体" w:cs="宋体"/>
                <w:i w:val="0"/>
                <w:iCs w:val="0"/>
                <w:color w:val="000000"/>
                <w:sz w:val="20"/>
                <w:szCs w:val="20"/>
                <w:u w:val="none"/>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A64DB7">
            <w:pPr>
              <w:jc w:val="right"/>
              <w:rPr>
                <w:rFonts w:hint="eastAsia" w:ascii="宋体" w:hAnsi="宋体" w:eastAsia="宋体" w:cs="宋体"/>
                <w:i w:val="0"/>
                <w:iCs w:val="0"/>
                <w:color w:val="000000"/>
                <w:sz w:val="20"/>
                <w:szCs w:val="20"/>
                <w:u w:val="none"/>
              </w:rPr>
            </w:pPr>
          </w:p>
        </w:tc>
        <w:tc>
          <w:tcPr>
            <w:tcW w:w="642"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374EC06">
            <w:pPr>
              <w:jc w:val="right"/>
              <w:rPr>
                <w:rFonts w:hint="eastAsia" w:ascii="宋体" w:hAnsi="宋体" w:eastAsia="宋体" w:cs="宋体"/>
                <w:i w:val="0"/>
                <w:iCs w:val="0"/>
                <w:color w:val="000000"/>
                <w:sz w:val="20"/>
                <w:szCs w:val="20"/>
                <w:u w:val="none"/>
              </w:rPr>
            </w:pPr>
          </w:p>
        </w:tc>
      </w:tr>
      <w:tr w14:paraId="1DBB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36510C1">
            <w:pPr>
              <w:jc w:val="center"/>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9F2465">
            <w:pPr>
              <w:jc w:val="left"/>
              <w:rPr>
                <w:rFonts w:hint="eastAsia" w:ascii="宋体" w:hAnsi="宋体" w:eastAsia="宋体" w:cs="宋体"/>
                <w:i w:val="0"/>
                <w:iCs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33F5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71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8384D3">
            <w:pPr>
              <w:jc w:val="left"/>
              <w:rPr>
                <w:rFonts w:hint="eastAsia" w:ascii="宋体" w:hAnsi="宋体" w:eastAsia="宋体" w:cs="宋体"/>
                <w:i w:val="0"/>
                <w:iCs w:val="0"/>
                <w:color w:val="000000"/>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202B90">
            <w:pPr>
              <w:jc w:val="left"/>
              <w:rPr>
                <w:rFonts w:hint="eastAsia" w:ascii="宋体" w:hAnsi="宋体" w:eastAsia="宋体" w:cs="宋体"/>
                <w:i w:val="0"/>
                <w:iCs w:val="0"/>
                <w:color w:val="000000"/>
                <w:sz w:val="20"/>
                <w:szCs w:val="20"/>
                <w:u w:val="none"/>
              </w:rPr>
            </w:pPr>
          </w:p>
        </w:tc>
        <w:tc>
          <w:tcPr>
            <w:tcW w:w="44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D9DBE2">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BCA298">
            <w:pPr>
              <w:jc w:val="right"/>
              <w:rPr>
                <w:rFonts w:hint="eastAsia" w:ascii="宋体" w:hAnsi="宋体" w:eastAsia="宋体" w:cs="宋体"/>
                <w:i w:val="0"/>
                <w:iCs w:val="0"/>
                <w:color w:val="000000"/>
                <w:sz w:val="20"/>
                <w:szCs w:val="20"/>
                <w:u w:val="none"/>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F8BD76">
            <w:pPr>
              <w:jc w:val="right"/>
              <w:rPr>
                <w:rFonts w:hint="eastAsia" w:ascii="宋体" w:hAnsi="宋体" w:eastAsia="宋体" w:cs="宋体"/>
                <w:i w:val="0"/>
                <w:iCs w:val="0"/>
                <w:color w:val="000000"/>
                <w:sz w:val="20"/>
                <w:szCs w:val="20"/>
                <w:u w:val="none"/>
              </w:rPr>
            </w:pPr>
          </w:p>
        </w:tc>
        <w:tc>
          <w:tcPr>
            <w:tcW w:w="642"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F6076BD">
            <w:pPr>
              <w:jc w:val="right"/>
              <w:rPr>
                <w:rFonts w:hint="eastAsia" w:ascii="宋体" w:hAnsi="宋体" w:eastAsia="宋体" w:cs="宋体"/>
                <w:i w:val="0"/>
                <w:iCs w:val="0"/>
                <w:color w:val="000000"/>
                <w:sz w:val="20"/>
                <w:szCs w:val="20"/>
                <w:u w:val="none"/>
              </w:rPr>
            </w:pPr>
          </w:p>
        </w:tc>
      </w:tr>
      <w:tr w14:paraId="7719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666C0CD">
            <w:pPr>
              <w:jc w:val="center"/>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2F5D98">
            <w:pPr>
              <w:jc w:val="left"/>
              <w:rPr>
                <w:rFonts w:hint="eastAsia" w:ascii="宋体" w:hAnsi="宋体" w:eastAsia="宋体" w:cs="宋体"/>
                <w:i w:val="0"/>
                <w:iCs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3B6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71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7180F7">
            <w:pPr>
              <w:jc w:val="left"/>
              <w:rPr>
                <w:rFonts w:hint="eastAsia" w:ascii="宋体" w:hAnsi="宋体" w:eastAsia="宋体" w:cs="宋体"/>
                <w:i w:val="0"/>
                <w:iCs w:val="0"/>
                <w:color w:val="000000"/>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156FFE">
            <w:pPr>
              <w:jc w:val="left"/>
              <w:rPr>
                <w:rFonts w:hint="eastAsia" w:ascii="宋体" w:hAnsi="宋体" w:eastAsia="宋体" w:cs="宋体"/>
                <w:i w:val="0"/>
                <w:iCs w:val="0"/>
                <w:color w:val="000000"/>
                <w:sz w:val="20"/>
                <w:szCs w:val="20"/>
                <w:u w:val="none"/>
              </w:rPr>
            </w:pPr>
          </w:p>
        </w:tc>
        <w:tc>
          <w:tcPr>
            <w:tcW w:w="44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989792">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8BB041">
            <w:pPr>
              <w:jc w:val="right"/>
              <w:rPr>
                <w:rFonts w:hint="eastAsia" w:ascii="宋体" w:hAnsi="宋体" w:eastAsia="宋体" w:cs="宋体"/>
                <w:i w:val="0"/>
                <w:iCs w:val="0"/>
                <w:color w:val="000000"/>
                <w:sz w:val="20"/>
                <w:szCs w:val="20"/>
                <w:u w:val="none"/>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04243E">
            <w:pPr>
              <w:jc w:val="right"/>
              <w:rPr>
                <w:rFonts w:hint="eastAsia" w:ascii="宋体" w:hAnsi="宋体" w:eastAsia="宋体" w:cs="宋体"/>
                <w:i w:val="0"/>
                <w:iCs w:val="0"/>
                <w:color w:val="000000"/>
                <w:sz w:val="20"/>
                <w:szCs w:val="20"/>
                <w:u w:val="none"/>
              </w:rPr>
            </w:pPr>
          </w:p>
        </w:tc>
        <w:tc>
          <w:tcPr>
            <w:tcW w:w="642"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5AA99FC">
            <w:pPr>
              <w:jc w:val="right"/>
              <w:rPr>
                <w:rFonts w:hint="eastAsia" w:ascii="宋体" w:hAnsi="宋体" w:eastAsia="宋体" w:cs="宋体"/>
                <w:i w:val="0"/>
                <w:iCs w:val="0"/>
                <w:color w:val="000000"/>
                <w:sz w:val="20"/>
                <w:szCs w:val="20"/>
                <w:u w:val="none"/>
              </w:rPr>
            </w:pPr>
          </w:p>
        </w:tc>
      </w:tr>
      <w:tr w14:paraId="5B88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3453601">
            <w:pPr>
              <w:jc w:val="center"/>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0FDFAB">
            <w:pPr>
              <w:jc w:val="left"/>
              <w:rPr>
                <w:rFonts w:hint="eastAsia" w:ascii="宋体" w:hAnsi="宋体" w:eastAsia="宋体" w:cs="宋体"/>
                <w:i w:val="0"/>
                <w:iCs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B404CF">
            <w:pPr>
              <w:jc w:val="left"/>
              <w:rPr>
                <w:rFonts w:hint="eastAsia" w:ascii="宋体" w:hAnsi="宋体" w:eastAsia="宋体" w:cs="宋体"/>
                <w:i w:val="0"/>
                <w:iCs w:val="0"/>
                <w:color w:val="000000"/>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29296D">
            <w:pPr>
              <w:jc w:val="left"/>
              <w:rPr>
                <w:rFonts w:hint="eastAsia" w:ascii="宋体" w:hAnsi="宋体" w:eastAsia="宋体" w:cs="宋体"/>
                <w:i w:val="0"/>
                <w:iCs w:val="0"/>
                <w:color w:val="000000"/>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5F19ED">
            <w:pPr>
              <w:jc w:val="center"/>
              <w:rPr>
                <w:rFonts w:hint="eastAsia" w:ascii="宋体" w:hAnsi="宋体" w:eastAsia="宋体" w:cs="宋体"/>
                <w:i w:val="0"/>
                <w:iCs w:val="0"/>
                <w:color w:val="000000"/>
                <w:sz w:val="20"/>
                <w:szCs w:val="20"/>
                <w:u w:val="none"/>
              </w:rPr>
            </w:pPr>
          </w:p>
        </w:tc>
        <w:tc>
          <w:tcPr>
            <w:tcW w:w="44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B4DB68">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C2E63F">
            <w:pPr>
              <w:jc w:val="right"/>
              <w:rPr>
                <w:rFonts w:hint="eastAsia" w:ascii="宋体" w:hAnsi="宋体" w:eastAsia="宋体" w:cs="宋体"/>
                <w:i w:val="0"/>
                <w:iCs w:val="0"/>
                <w:color w:val="000000"/>
                <w:sz w:val="20"/>
                <w:szCs w:val="20"/>
                <w:u w:val="none"/>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A2A8F6">
            <w:pPr>
              <w:jc w:val="right"/>
              <w:rPr>
                <w:rFonts w:hint="eastAsia" w:ascii="宋体" w:hAnsi="宋体" w:eastAsia="宋体" w:cs="宋体"/>
                <w:i w:val="0"/>
                <w:iCs w:val="0"/>
                <w:color w:val="000000"/>
                <w:sz w:val="20"/>
                <w:szCs w:val="20"/>
                <w:u w:val="none"/>
              </w:rPr>
            </w:pPr>
          </w:p>
        </w:tc>
        <w:tc>
          <w:tcPr>
            <w:tcW w:w="642"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8D393A1">
            <w:pPr>
              <w:jc w:val="right"/>
              <w:rPr>
                <w:rFonts w:hint="eastAsia" w:ascii="宋体" w:hAnsi="宋体" w:eastAsia="宋体" w:cs="宋体"/>
                <w:i w:val="0"/>
                <w:iCs w:val="0"/>
                <w:color w:val="000000"/>
                <w:sz w:val="20"/>
                <w:szCs w:val="20"/>
                <w:u w:val="none"/>
              </w:rPr>
            </w:pPr>
          </w:p>
        </w:tc>
      </w:tr>
      <w:tr w14:paraId="0371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0"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76877EB">
            <w:pPr>
              <w:jc w:val="center"/>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02385E">
            <w:pPr>
              <w:jc w:val="left"/>
              <w:rPr>
                <w:rFonts w:hint="eastAsia" w:ascii="宋体" w:hAnsi="宋体" w:eastAsia="宋体" w:cs="宋体"/>
                <w:i w:val="0"/>
                <w:iCs w:val="0"/>
                <w:color w:val="000000"/>
                <w:sz w:val="20"/>
                <w:szCs w:val="20"/>
                <w:u w:val="none"/>
              </w:rPr>
            </w:pPr>
          </w:p>
        </w:tc>
        <w:tc>
          <w:tcPr>
            <w:tcW w:w="68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9978A1">
            <w:pPr>
              <w:jc w:val="left"/>
              <w:rPr>
                <w:rFonts w:hint="eastAsia" w:ascii="宋体" w:hAnsi="宋体" w:eastAsia="宋体" w:cs="宋体"/>
                <w:i w:val="0"/>
                <w:iCs w:val="0"/>
                <w:color w:val="000000"/>
                <w:sz w:val="20"/>
                <w:szCs w:val="20"/>
                <w:u w:val="none"/>
              </w:rPr>
            </w:pPr>
          </w:p>
        </w:tc>
        <w:tc>
          <w:tcPr>
            <w:tcW w:w="71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D45B22">
            <w:pPr>
              <w:jc w:val="left"/>
              <w:rPr>
                <w:rFonts w:hint="eastAsia" w:ascii="宋体" w:hAnsi="宋体" w:eastAsia="宋体" w:cs="宋体"/>
                <w:i w:val="0"/>
                <w:iCs w:val="0"/>
                <w:color w:val="000000"/>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2BF5BA">
            <w:pPr>
              <w:jc w:val="center"/>
              <w:rPr>
                <w:rFonts w:hint="eastAsia" w:ascii="宋体" w:hAnsi="宋体" w:eastAsia="宋体" w:cs="宋体"/>
                <w:i w:val="0"/>
                <w:iCs w:val="0"/>
                <w:color w:val="000000"/>
                <w:sz w:val="20"/>
                <w:szCs w:val="20"/>
                <w:u w:val="none"/>
              </w:rPr>
            </w:pPr>
          </w:p>
        </w:tc>
        <w:tc>
          <w:tcPr>
            <w:tcW w:w="44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2BD156">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600FA7">
            <w:pPr>
              <w:jc w:val="right"/>
              <w:rPr>
                <w:rFonts w:hint="eastAsia" w:ascii="宋体" w:hAnsi="宋体" w:eastAsia="宋体" w:cs="宋体"/>
                <w:i w:val="0"/>
                <w:iCs w:val="0"/>
                <w:color w:val="000000"/>
                <w:sz w:val="20"/>
                <w:szCs w:val="20"/>
                <w:u w:val="none"/>
              </w:rPr>
            </w:pP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616297">
            <w:pPr>
              <w:jc w:val="right"/>
              <w:rPr>
                <w:rFonts w:hint="eastAsia" w:ascii="宋体" w:hAnsi="宋体" w:eastAsia="宋体" w:cs="宋体"/>
                <w:i w:val="0"/>
                <w:iCs w:val="0"/>
                <w:color w:val="000000"/>
                <w:sz w:val="20"/>
                <w:szCs w:val="20"/>
                <w:u w:val="none"/>
              </w:rPr>
            </w:pPr>
          </w:p>
        </w:tc>
        <w:tc>
          <w:tcPr>
            <w:tcW w:w="642"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5D6545D">
            <w:pPr>
              <w:jc w:val="right"/>
              <w:rPr>
                <w:rFonts w:hint="eastAsia" w:ascii="宋体" w:hAnsi="宋体" w:eastAsia="宋体" w:cs="宋体"/>
                <w:i w:val="0"/>
                <w:iCs w:val="0"/>
                <w:color w:val="000000"/>
                <w:sz w:val="20"/>
                <w:szCs w:val="20"/>
                <w:u w:val="none"/>
              </w:rPr>
            </w:pPr>
          </w:p>
        </w:tc>
      </w:tr>
      <w:tr w14:paraId="2B66C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4" w:type="pct"/>
            <w:gridSpan w:val="8"/>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0F5F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93"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104345">
            <w:pPr>
              <w:jc w:val="right"/>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61D03FF">
            <w:pPr>
              <w:jc w:val="right"/>
              <w:rPr>
                <w:rFonts w:hint="eastAsia" w:ascii="宋体" w:hAnsi="宋体" w:eastAsia="宋体" w:cs="宋体"/>
                <w:i w:val="0"/>
                <w:iCs w:val="0"/>
                <w:color w:val="000000"/>
                <w:sz w:val="20"/>
                <w:szCs w:val="20"/>
                <w:u w:val="none"/>
              </w:rPr>
            </w:pPr>
          </w:p>
        </w:tc>
      </w:tr>
      <w:tr w14:paraId="226E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64" w:type="pct"/>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6DA84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93" w:type="pct"/>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4697276C">
            <w:pPr>
              <w:jc w:val="right"/>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64876357">
            <w:pPr>
              <w:jc w:val="right"/>
              <w:rPr>
                <w:rFonts w:hint="eastAsia" w:ascii="宋体" w:hAnsi="宋体" w:eastAsia="宋体" w:cs="宋体"/>
                <w:i w:val="0"/>
                <w:iCs w:val="0"/>
                <w:color w:val="000000"/>
                <w:sz w:val="20"/>
                <w:szCs w:val="20"/>
                <w:u w:val="none"/>
              </w:rPr>
            </w:pPr>
          </w:p>
        </w:tc>
      </w:tr>
      <w:tr w14:paraId="1CB4D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noWrap w:val="0"/>
            <w:vAlign w:val="top"/>
          </w:tcPr>
          <w:p w14:paraId="4119EB0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7013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927" w:type="pct"/>
            <w:gridSpan w:val="6"/>
            <w:tcBorders>
              <w:top w:val="nil"/>
              <w:left w:val="nil"/>
              <w:bottom w:val="nil"/>
              <w:right w:val="nil"/>
            </w:tcBorders>
            <w:shd w:val="clear" w:color="FFFFFF" w:fill="FFFFFF"/>
            <w:noWrap w:val="0"/>
            <w:vAlign w:val="top"/>
          </w:tcPr>
          <w:p w14:paraId="41A1CFD3">
            <w:pPr>
              <w:jc w:val="left"/>
              <w:rPr>
                <w:rFonts w:hint="eastAsia" w:ascii="宋体" w:hAnsi="宋体" w:eastAsia="宋体" w:cs="宋体"/>
                <w:i w:val="0"/>
                <w:iCs w:val="0"/>
                <w:color w:val="000000"/>
                <w:sz w:val="18"/>
                <w:szCs w:val="18"/>
                <w:u w:val="none"/>
              </w:rPr>
            </w:pPr>
          </w:p>
        </w:tc>
        <w:tc>
          <w:tcPr>
            <w:tcW w:w="846" w:type="pct"/>
            <w:gridSpan w:val="3"/>
            <w:tcBorders>
              <w:top w:val="nil"/>
              <w:left w:val="nil"/>
              <w:bottom w:val="nil"/>
              <w:right w:val="nil"/>
            </w:tcBorders>
            <w:shd w:val="clear" w:color="FFFFFF" w:fill="FFFFFF"/>
            <w:noWrap w:val="0"/>
            <w:vAlign w:val="top"/>
          </w:tcPr>
          <w:p w14:paraId="19168110">
            <w:pPr>
              <w:jc w:val="left"/>
              <w:rPr>
                <w:rFonts w:hint="eastAsia" w:ascii="宋体" w:hAnsi="宋体" w:eastAsia="宋体" w:cs="宋体"/>
                <w:i w:val="0"/>
                <w:iCs w:val="0"/>
                <w:color w:val="000000"/>
                <w:sz w:val="18"/>
                <w:szCs w:val="18"/>
                <w:u w:val="single"/>
              </w:rPr>
            </w:pPr>
          </w:p>
        </w:tc>
        <w:tc>
          <w:tcPr>
            <w:tcW w:w="1225" w:type="pct"/>
            <w:gridSpan w:val="2"/>
            <w:tcBorders>
              <w:top w:val="nil"/>
              <w:left w:val="nil"/>
              <w:bottom w:val="nil"/>
              <w:right w:val="nil"/>
            </w:tcBorders>
            <w:shd w:val="clear" w:color="FFFFFF" w:fill="FFFFFF"/>
            <w:noWrap w:val="0"/>
            <w:vAlign w:val="top"/>
          </w:tcPr>
          <w:p w14:paraId="3592FDB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00E858A1">
      <w:pPr>
        <w:pStyle w:val="2"/>
        <w:rPr>
          <w:rFonts w:ascii="宋体" w:hAnsi="宋体"/>
          <w:b/>
          <w:sz w:val="24"/>
          <w:highlight w:val="none"/>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2232"/>
        <w:gridCol w:w="930"/>
        <w:gridCol w:w="1043"/>
        <w:gridCol w:w="1177"/>
        <w:gridCol w:w="222"/>
        <w:gridCol w:w="1026"/>
        <w:gridCol w:w="1222"/>
      </w:tblGrid>
      <w:tr w14:paraId="1B6D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5000" w:type="pct"/>
            <w:gridSpan w:val="8"/>
            <w:tcBorders>
              <w:top w:val="nil"/>
              <w:left w:val="nil"/>
              <w:bottom w:val="nil"/>
              <w:right w:val="nil"/>
            </w:tcBorders>
            <w:shd w:val="clear" w:color="FFFFFF" w:fill="FFFFFF"/>
            <w:noWrap w:val="0"/>
            <w:vAlign w:val="center"/>
          </w:tcPr>
          <w:p w14:paraId="7C9FF1B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14:paraId="33E6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253" w:type="pct"/>
            <w:gridSpan w:val="3"/>
            <w:tcBorders>
              <w:top w:val="nil"/>
              <w:left w:val="nil"/>
              <w:bottom w:val="nil"/>
              <w:right w:val="nil"/>
            </w:tcBorders>
            <w:shd w:val="clear" w:color="FFFFFF" w:fill="FFFFFF"/>
            <w:noWrap w:val="0"/>
            <w:vAlign w:val="bottom"/>
          </w:tcPr>
          <w:p w14:paraId="359C597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工程名称：人才公寓（含复式洋房）装修建筑垃圾清运</w:t>
            </w:r>
          </w:p>
        </w:tc>
        <w:tc>
          <w:tcPr>
            <w:tcW w:w="1305" w:type="pct"/>
            <w:gridSpan w:val="2"/>
            <w:tcBorders>
              <w:top w:val="nil"/>
              <w:left w:val="nil"/>
              <w:bottom w:val="nil"/>
              <w:right w:val="nil"/>
            </w:tcBorders>
            <w:shd w:val="clear" w:color="FFFFFF" w:fill="FFFFFF"/>
            <w:noWrap w:val="0"/>
            <w:vAlign w:val="bottom"/>
          </w:tcPr>
          <w:p w14:paraId="3117307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40" w:type="pct"/>
            <w:gridSpan w:val="3"/>
            <w:tcBorders>
              <w:top w:val="nil"/>
              <w:left w:val="nil"/>
              <w:bottom w:val="nil"/>
              <w:right w:val="nil"/>
            </w:tcBorders>
            <w:shd w:val="clear" w:color="FFFFFF" w:fill="FFFFFF"/>
            <w:noWrap w:val="0"/>
            <w:vAlign w:val="bottom"/>
          </w:tcPr>
          <w:p w14:paraId="0470D91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6CFB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95"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C132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11"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6381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60" w:type="pct"/>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D1CB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813" w:type="pct"/>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B375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603"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3000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p>
        </w:tc>
        <w:tc>
          <w:tcPr>
            <w:tcW w:w="716" w:type="pct"/>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04BDD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1136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F7A358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3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555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1160"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213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分部分项+措施项目+其他项目+规费</w:t>
            </w: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4A23D3">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65B5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1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0F677F9">
            <w:pPr>
              <w:jc w:val="right"/>
              <w:rPr>
                <w:rFonts w:hint="eastAsia" w:ascii="宋体" w:hAnsi="宋体" w:eastAsia="宋体" w:cs="宋体"/>
                <w:i w:val="0"/>
                <w:iCs w:val="0"/>
                <w:color w:val="000000"/>
                <w:sz w:val="20"/>
                <w:szCs w:val="20"/>
                <w:u w:val="none"/>
              </w:rPr>
            </w:pPr>
          </w:p>
        </w:tc>
      </w:tr>
      <w:tr w14:paraId="3137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5"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8F01341">
            <w:pPr>
              <w:jc w:val="center"/>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0FA927">
            <w:pPr>
              <w:jc w:val="center"/>
              <w:rPr>
                <w:rFonts w:hint="eastAsia" w:ascii="宋体" w:hAnsi="宋体" w:eastAsia="宋体" w:cs="宋体"/>
                <w:i w:val="0"/>
                <w:iCs w:val="0"/>
                <w:color w:val="000000"/>
                <w:sz w:val="20"/>
                <w:szCs w:val="20"/>
                <w:u w:val="none"/>
              </w:rPr>
            </w:pPr>
          </w:p>
        </w:tc>
        <w:tc>
          <w:tcPr>
            <w:tcW w:w="1160"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601340">
            <w:pPr>
              <w:jc w:val="center"/>
              <w:rPr>
                <w:rFonts w:hint="eastAsia" w:ascii="宋体" w:hAnsi="宋体" w:eastAsia="宋体" w:cs="宋体"/>
                <w:i w:val="0"/>
                <w:iCs w:val="0"/>
                <w:color w:val="000000"/>
                <w:sz w:val="20"/>
                <w:szCs w:val="20"/>
                <w:u w:val="none"/>
              </w:rPr>
            </w:pPr>
          </w:p>
        </w:tc>
        <w:tc>
          <w:tcPr>
            <w:tcW w:w="813"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AD08D2">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B240C0">
            <w:pPr>
              <w:jc w:val="right"/>
              <w:rPr>
                <w:rFonts w:hint="eastAsia" w:ascii="宋体" w:hAnsi="宋体" w:eastAsia="宋体" w:cs="宋体"/>
                <w:i w:val="0"/>
                <w:iCs w:val="0"/>
                <w:color w:val="000000"/>
                <w:sz w:val="20"/>
                <w:szCs w:val="20"/>
                <w:u w:val="none"/>
              </w:rPr>
            </w:pPr>
          </w:p>
        </w:tc>
        <w:tc>
          <w:tcPr>
            <w:tcW w:w="71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ED4E66B">
            <w:pPr>
              <w:jc w:val="right"/>
              <w:rPr>
                <w:rFonts w:hint="eastAsia" w:ascii="宋体" w:hAnsi="宋体" w:eastAsia="宋体" w:cs="宋体"/>
                <w:i w:val="0"/>
                <w:iCs w:val="0"/>
                <w:color w:val="000000"/>
                <w:sz w:val="20"/>
                <w:szCs w:val="20"/>
                <w:u w:val="none"/>
              </w:rPr>
            </w:pPr>
          </w:p>
        </w:tc>
      </w:tr>
      <w:tr w14:paraId="71C9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5" w:type="pct"/>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52D8B777">
            <w:pPr>
              <w:jc w:val="center"/>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0385FF52">
            <w:pPr>
              <w:jc w:val="center"/>
              <w:rPr>
                <w:rFonts w:hint="eastAsia" w:ascii="宋体" w:hAnsi="宋体" w:eastAsia="宋体" w:cs="宋体"/>
                <w:i w:val="0"/>
                <w:iCs w:val="0"/>
                <w:color w:val="000000"/>
                <w:sz w:val="20"/>
                <w:szCs w:val="20"/>
                <w:u w:val="none"/>
              </w:rPr>
            </w:pPr>
          </w:p>
        </w:tc>
        <w:tc>
          <w:tcPr>
            <w:tcW w:w="1160" w:type="pct"/>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0799B3CE">
            <w:pPr>
              <w:jc w:val="center"/>
              <w:rPr>
                <w:rFonts w:hint="eastAsia" w:ascii="宋体" w:hAnsi="宋体" w:eastAsia="宋体" w:cs="宋体"/>
                <w:i w:val="0"/>
                <w:iCs w:val="0"/>
                <w:color w:val="000000"/>
                <w:sz w:val="20"/>
                <w:szCs w:val="20"/>
                <w:u w:val="none"/>
              </w:rPr>
            </w:pPr>
          </w:p>
        </w:tc>
        <w:tc>
          <w:tcPr>
            <w:tcW w:w="813" w:type="pct"/>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01DD3678">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4DBC6EA6">
            <w:pPr>
              <w:jc w:val="right"/>
              <w:rPr>
                <w:rFonts w:hint="eastAsia" w:ascii="宋体" w:hAnsi="宋体" w:eastAsia="宋体" w:cs="宋体"/>
                <w:i w:val="0"/>
                <w:iCs w:val="0"/>
                <w:color w:val="000000"/>
                <w:sz w:val="20"/>
                <w:szCs w:val="20"/>
                <w:u w:val="none"/>
              </w:rPr>
            </w:pPr>
          </w:p>
        </w:tc>
        <w:tc>
          <w:tcPr>
            <w:tcW w:w="716" w:type="pct"/>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72D34EB1">
            <w:pPr>
              <w:jc w:val="right"/>
              <w:rPr>
                <w:rFonts w:hint="eastAsia" w:ascii="宋体" w:hAnsi="宋体" w:eastAsia="宋体" w:cs="宋体"/>
                <w:i w:val="0"/>
                <w:iCs w:val="0"/>
                <w:color w:val="000000"/>
                <w:sz w:val="20"/>
                <w:szCs w:val="20"/>
                <w:u w:val="none"/>
              </w:rPr>
            </w:pPr>
          </w:p>
        </w:tc>
      </w:tr>
      <w:tr w14:paraId="35D1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53" w:type="pct"/>
            <w:gridSpan w:val="3"/>
            <w:tcBorders>
              <w:top w:val="nil"/>
              <w:left w:val="nil"/>
              <w:bottom w:val="nil"/>
              <w:right w:val="nil"/>
            </w:tcBorders>
            <w:shd w:val="clear" w:color="FFFFFF" w:fill="FFFFFF"/>
            <w:noWrap w:val="0"/>
            <w:vAlign w:val="center"/>
          </w:tcPr>
          <w:p w14:paraId="3326254A">
            <w:pPr>
              <w:jc w:val="left"/>
              <w:rPr>
                <w:rFonts w:hint="eastAsia" w:ascii="宋体" w:hAnsi="宋体" w:eastAsia="宋体" w:cs="宋体"/>
                <w:i w:val="0"/>
                <w:iCs w:val="0"/>
                <w:color w:val="000000"/>
                <w:sz w:val="18"/>
                <w:szCs w:val="18"/>
                <w:u w:val="none"/>
              </w:rPr>
            </w:pPr>
          </w:p>
        </w:tc>
        <w:tc>
          <w:tcPr>
            <w:tcW w:w="1305" w:type="pct"/>
            <w:gridSpan w:val="2"/>
            <w:tcBorders>
              <w:top w:val="nil"/>
              <w:left w:val="nil"/>
              <w:bottom w:val="nil"/>
              <w:right w:val="nil"/>
            </w:tcBorders>
            <w:shd w:val="clear" w:color="FFFFFF" w:fill="FFFFFF"/>
            <w:noWrap w:val="0"/>
            <w:vAlign w:val="center"/>
          </w:tcPr>
          <w:p w14:paraId="5E3A0138">
            <w:pPr>
              <w:jc w:val="center"/>
              <w:rPr>
                <w:rFonts w:hint="eastAsia" w:ascii="宋体" w:hAnsi="宋体" w:eastAsia="宋体" w:cs="宋体"/>
                <w:i w:val="0"/>
                <w:iCs w:val="0"/>
                <w:color w:val="000000"/>
                <w:sz w:val="18"/>
                <w:szCs w:val="18"/>
                <w:u w:val="none"/>
              </w:rPr>
            </w:pPr>
          </w:p>
        </w:tc>
        <w:tc>
          <w:tcPr>
            <w:tcW w:w="1440" w:type="pct"/>
            <w:gridSpan w:val="3"/>
            <w:tcBorders>
              <w:top w:val="nil"/>
              <w:left w:val="nil"/>
              <w:bottom w:val="nil"/>
              <w:right w:val="nil"/>
            </w:tcBorders>
            <w:shd w:val="clear" w:color="FFFFFF" w:fill="FFFFFF"/>
            <w:noWrap w:val="0"/>
            <w:vAlign w:val="bottom"/>
          </w:tcPr>
          <w:p w14:paraId="450EB6E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r w14:paraId="063C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95" w:type="pct"/>
            <w:tcBorders>
              <w:top w:val="nil"/>
              <w:left w:val="nil"/>
              <w:bottom w:val="nil"/>
              <w:right w:val="nil"/>
            </w:tcBorders>
            <w:noWrap/>
            <w:vAlign w:val="bottom"/>
          </w:tcPr>
          <w:p w14:paraId="21B7008A">
            <w:pPr>
              <w:rPr>
                <w:rFonts w:hint="eastAsia" w:ascii="??" w:hAnsi="??" w:eastAsia="??" w:cs="??"/>
                <w:i w:val="0"/>
                <w:iCs w:val="0"/>
                <w:color w:val="000000"/>
                <w:sz w:val="18"/>
                <w:szCs w:val="18"/>
                <w:u w:val="none"/>
              </w:rPr>
            </w:pPr>
          </w:p>
        </w:tc>
        <w:tc>
          <w:tcPr>
            <w:tcW w:w="1311" w:type="pct"/>
            <w:tcBorders>
              <w:top w:val="nil"/>
              <w:left w:val="nil"/>
              <w:bottom w:val="nil"/>
              <w:right w:val="nil"/>
            </w:tcBorders>
            <w:noWrap/>
            <w:vAlign w:val="bottom"/>
          </w:tcPr>
          <w:p w14:paraId="3ACC3190">
            <w:pPr>
              <w:rPr>
                <w:rFonts w:hint="default" w:ascii="??" w:hAnsi="??" w:eastAsia="??" w:cs="??"/>
                <w:i w:val="0"/>
                <w:iCs w:val="0"/>
                <w:color w:val="000000"/>
                <w:sz w:val="18"/>
                <w:szCs w:val="18"/>
                <w:u w:val="none"/>
              </w:rPr>
            </w:pPr>
          </w:p>
        </w:tc>
        <w:tc>
          <w:tcPr>
            <w:tcW w:w="547" w:type="pct"/>
            <w:tcBorders>
              <w:top w:val="nil"/>
              <w:left w:val="nil"/>
              <w:bottom w:val="nil"/>
              <w:right w:val="nil"/>
            </w:tcBorders>
            <w:noWrap/>
            <w:vAlign w:val="bottom"/>
          </w:tcPr>
          <w:p w14:paraId="26B9B4BE">
            <w:pPr>
              <w:rPr>
                <w:rFonts w:hint="default" w:ascii="??" w:hAnsi="??" w:eastAsia="??" w:cs="??"/>
                <w:i w:val="0"/>
                <w:iCs w:val="0"/>
                <w:color w:val="000000"/>
                <w:sz w:val="18"/>
                <w:szCs w:val="18"/>
                <w:u w:val="none"/>
              </w:rPr>
            </w:pPr>
          </w:p>
        </w:tc>
        <w:tc>
          <w:tcPr>
            <w:tcW w:w="612" w:type="pct"/>
            <w:tcBorders>
              <w:top w:val="nil"/>
              <w:left w:val="nil"/>
              <w:bottom w:val="nil"/>
              <w:right w:val="nil"/>
            </w:tcBorders>
            <w:noWrap/>
            <w:vAlign w:val="bottom"/>
          </w:tcPr>
          <w:p w14:paraId="6C69BA2B">
            <w:pPr>
              <w:rPr>
                <w:rFonts w:hint="default" w:ascii="??" w:hAnsi="??" w:eastAsia="??" w:cs="??"/>
                <w:i w:val="0"/>
                <w:iCs w:val="0"/>
                <w:color w:val="000000"/>
                <w:sz w:val="18"/>
                <w:szCs w:val="18"/>
                <w:u w:val="none"/>
              </w:rPr>
            </w:pPr>
          </w:p>
        </w:tc>
        <w:tc>
          <w:tcPr>
            <w:tcW w:w="692" w:type="pct"/>
            <w:tcBorders>
              <w:top w:val="nil"/>
              <w:left w:val="nil"/>
              <w:bottom w:val="nil"/>
              <w:right w:val="nil"/>
            </w:tcBorders>
            <w:noWrap/>
            <w:vAlign w:val="bottom"/>
          </w:tcPr>
          <w:p w14:paraId="4BE44814">
            <w:pPr>
              <w:rPr>
                <w:rFonts w:hint="default" w:ascii="??" w:hAnsi="??" w:eastAsia="??" w:cs="??"/>
                <w:i w:val="0"/>
                <w:iCs w:val="0"/>
                <w:color w:val="000000"/>
                <w:sz w:val="18"/>
                <w:szCs w:val="18"/>
                <w:u w:val="none"/>
              </w:rPr>
            </w:pPr>
          </w:p>
        </w:tc>
        <w:tc>
          <w:tcPr>
            <w:tcW w:w="121" w:type="pct"/>
            <w:tcBorders>
              <w:top w:val="nil"/>
              <w:left w:val="nil"/>
              <w:bottom w:val="nil"/>
              <w:right w:val="nil"/>
            </w:tcBorders>
            <w:noWrap/>
            <w:vAlign w:val="bottom"/>
          </w:tcPr>
          <w:p w14:paraId="7A8D84E6">
            <w:pPr>
              <w:rPr>
                <w:rFonts w:hint="default" w:ascii="??" w:hAnsi="??" w:eastAsia="??" w:cs="??"/>
                <w:i w:val="0"/>
                <w:iCs w:val="0"/>
                <w:color w:val="000000"/>
                <w:sz w:val="18"/>
                <w:szCs w:val="18"/>
                <w:u w:val="none"/>
              </w:rPr>
            </w:pPr>
          </w:p>
        </w:tc>
        <w:tc>
          <w:tcPr>
            <w:tcW w:w="603" w:type="pct"/>
            <w:tcBorders>
              <w:top w:val="nil"/>
              <w:left w:val="nil"/>
              <w:bottom w:val="nil"/>
              <w:right w:val="nil"/>
            </w:tcBorders>
            <w:noWrap/>
            <w:vAlign w:val="bottom"/>
          </w:tcPr>
          <w:p w14:paraId="296FED37">
            <w:pPr>
              <w:rPr>
                <w:rFonts w:hint="default" w:ascii="??" w:hAnsi="??" w:eastAsia="??" w:cs="??"/>
                <w:i w:val="0"/>
                <w:iCs w:val="0"/>
                <w:color w:val="000000"/>
                <w:sz w:val="18"/>
                <w:szCs w:val="18"/>
                <w:u w:val="none"/>
              </w:rPr>
            </w:pPr>
          </w:p>
        </w:tc>
        <w:tc>
          <w:tcPr>
            <w:tcW w:w="716" w:type="pct"/>
            <w:tcBorders>
              <w:top w:val="nil"/>
              <w:left w:val="nil"/>
              <w:bottom w:val="nil"/>
              <w:right w:val="nil"/>
            </w:tcBorders>
            <w:noWrap/>
            <w:vAlign w:val="bottom"/>
          </w:tcPr>
          <w:p w14:paraId="0D761D7A">
            <w:pPr>
              <w:rPr>
                <w:rFonts w:hint="default" w:ascii="??" w:hAnsi="??" w:eastAsia="??" w:cs="??"/>
                <w:i w:val="0"/>
                <w:iCs w:val="0"/>
                <w:color w:val="000000"/>
                <w:sz w:val="18"/>
                <w:szCs w:val="18"/>
                <w:u w:val="none"/>
              </w:rPr>
            </w:pPr>
          </w:p>
        </w:tc>
      </w:tr>
    </w:tbl>
    <w:p w14:paraId="699D50F6">
      <w:pPr>
        <w:pStyle w:val="2"/>
        <w:rPr>
          <w:rFonts w:ascii="宋体" w:hAnsi="宋体"/>
          <w:b/>
          <w:sz w:val="24"/>
          <w:highlight w:val="none"/>
        </w:rPr>
      </w:pPr>
    </w:p>
    <w:p w14:paraId="6CF421CE">
      <w:pPr>
        <w:pStyle w:val="2"/>
        <w:rPr>
          <w:rFonts w:hint="eastAsia" w:ascii="宋体" w:hAnsi="宋体" w:eastAsia="宋体" w:cs="Times New Roman"/>
          <w:b/>
          <w:sz w:val="24"/>
          <w:highlight w:val="none"/>
          <w:lang w:eastAsia="zh-CN"/>
        </w:rPr>
      </w:pPr>
      <w:r>
        <w:rPr>
          <w:rFonts w:hint="eastAsia" w:ascii="宋体" w:hAnsi="宋体" w:eastAsia="宋体" w:cs="Times New Roman"/>
          <w:b/>
          <w:sz w:val="24"/>
          <w:highlight w:val="none"/>
          <w:lang w:eastAsia="zh-CN"/>
        </w:rPr>
        <w:t>（</w:t>
      </w:r>
      <w:r>
        <w:rPr>
          <w:rFonts w:hint="eastAsia" w:ascii="宋体" w:hAnsi="宋体" w:eastAsia="宋体" w:cs="Times New Roman"/>
          <w:b/>
          <w:sz w:val="24"/>
          <w:highlight w:val="none"/>
          <w:lang w:val="en-US" w:eastAsia="zh-CN"/>
        </w:rPr>
        <w:t>三</w:t>
      </w:r>
      <w:r>
        <w:rPr>
          <w:rFonts w:hint="eastAsia" w:ascii="宋体" w:hAnsi="宋体" w:eastAsia="宋体" w:cs="Times New Roman"/>
          <w:b/>
          <w:sz w:val="24"/>
          <w:highlight w:val="none"/>
          <w:lang w:eastAsia="zh-CN"/>
        </w:rPr>
        <w:t>）工作内容及要求</w:t>
      </w:r>
    </w:p>
    <w:p w14:paraId="01FDFEF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1、供应商须至少为本项目提供1辆清运垃圾货车,货车需在长4米，宽2米，高1.3米及以上。供应商须具备履行项目必须的人员、设施设备；项目所用车辆年检合格、具有行驶证、驾驶人员具有匹配的驾驶证。</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1、响应文件中提供以上内容的承诺函，格式详见下方附件。2、如车辆是供应商自有车辆，</w:t>
      </w:r>
      <w:r>
        <w:rPr>
          <w:rFonts w:hint="eastAsia" w:ascii="宋体" w:hAnsi="宋体" w:eastAsia="宋体" w:cs="宋体"/>
          <w:b/>
          <w:bCs/>
          <w:sz w:val="24"/>
          <w:szCs w:val="24"/>
        </w:rPr>
        <w:t>响应文件中</w:t>
      </w:r>
      <w:r>
        <w:rPr>
          <w:rFonts w:hint="eastAsia" w:ascii="宋体" w:hAnsi="宋体" w:eastAsia="宋体" w:cs="宋体"/>
          <w:b/>
          <w:bCs/>
          <w:sz w:val="24"/>
          <w:szCs w:val="24"/>
          <w:lang w:val="en-US" w:eastAsia="zh-CN"/>
        </w:rPr>
        <w:t>提供</w:t>
      </w:r>
      <w:r>
        <w:rPr>
          <w:rFonts w:hint="eastAsia" w:ascii="宋体" w:hAnsi="宋体" w:eastAsia="宋体" w:cs="宋体"/>
          <w:b/>
          <w:bCs/>
          <w:sz w:val="24"/>
          <w:szCs w:val="24"/>
        </w:rPr>
        <w:t>自有车辆</w:t>
      </w:r>
      <w:r>
        <w:rPr>
          <w:rFonts w:hint="eastAsia" w:ascii="宋体" w:hAnsi="宋体" w:eastAsia="宋体" w:cs="宋体"/>
          <w:b/>
          <w:bCs/>
          <w:sz w:val="24"/>
          <w:szCs w:val="24"/>
          <w:lang w:eastAsia="zh-CN"/>
        </w:rPr>
        <w:t>的</w:t>
      </w:r>
      <w:r>
        <w:rPr>
          <w:rFonts w:hint="eastAsia" w:ascii="宋体" w:hAnsi="宋体" w:eastAsia="宋体" w:cs="宋体"/>
          <w:b/>
          <w:bCs/>
          <w:sz w:val="24"/>
          <w:szCs w:val="24"/>
        </w:rPr>
        <w:t>行驶证、驾驶证及年检合格证加盖供应商公章</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如车辆是供应商租赁的，响应文件中须提供</w:t>
      </w:r>
      <w:r>
        <w:rPr>
          <w:rFonts w:hint="eastAsia" w:ascii="宋体" w:hAnsi="宋体" w:eastAsia="宋体" w:cs="宋体"/>
          <w:b/>
          <w:bCs/>
          <w:sz w:val="24"/>
          <w:szCs w:val="24"/>
        </w:rPr>
        <w:t>租赁车辆</w:t>
      </w:r>
      <w:r>
        <w:rPr>
          <w:rFonts w:hint="eastAsia" w:ascii="宋体" w:hAnsi="宋体" w:eastAsia="宋体" w:cs="宋体"/>
          <w:b/>
          <w:bCs/>
          <w:sz w:val="24"/>
          <w:szCs w:val="24"/>
          <w:lang w:eastAsia="zh-CN"/>
        </w:rPr>
        <w:t>的</w:t>
      </w:r>
      <w:r>
        <w:rPr>
          <w:rFonts w:hint="eastAsia" w:ascii="宋体" w:hAnsi="宋体" w:eastAsia="宋体" w:cs="宋体"/>
          <w:b/>
          <w:bCs/>
          <w:sz w:val="24"/>
          <w:szCs w:val="24"/>
        </w:rPr>
        <w:t>行驶证、租赁合同及车辆照片加盖供应商公章</w:t>
      </w:r>
      <w:r>
        <w:rPr>
          <w:rFonts w:hint="eastAsia" w:ascii="宋体" w:hAnsi="宋体" w:eastAsia="宋体" w:cs="宋体"/>
          <w:b/>
          <w:bCs/>
          <w:sz w:val="24"/>
          <w:szCs w:val="24"/>
          <w:lang w:eastAsia="zh-CN"/>
        </w:rPr>
        <w:t>；</w:t>
      </w:r>
      <w:r>
        <w:rPr>
          <w:rFonts w:hint="eastAsia" w:ascii="宋体" w:hAnsi="宋体" w:eastAsia="宋体" w:cs="宋体"/>
          <w:b/>
          <w:bCs/>
          <w:sz w:val="24"/>
          <w:szCs w:val="24"/>
        </w:rPr>
        <w:t>原件现场核查。）</w:t>
      </w:r>
    </w:p>
    <w:p w14:paraId="5C7AD28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2、供应商成交后需为采购人提供建筑垃圾的清运工作，接到采购人要求后，在24小时内响应并派工到现场。</w:t>
      </w:r>
    </w:p>
    <w:p w14:paraId="477BAEB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3、供应商需根据采购人要求，及时清运。在运输建筑垃圾时，随车携带建筑垃圾处置核准文件，按照有关部门规定的运输路线、时间进行运输，不得丢弃、遗撒建筑垃圾，不得超出核准范围承运建筑垃圾。</w:t>
      </w:r>
    </w:p>
    <w:p w14:paraId="1AA20DF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4、供应商应根据以下要求做好施工组织及现场管理措施</w:t>
      </w:r>
    </w:p>
    <w:p w14:paraId="751E924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（1）车辆管理措施：运送垃圾时车下垫草帘并清洗轮胎，保证出工作区域车辆不带泥上路。</w:t>
      </w:r>
    </w:p>
    <w:p w14:paraId="2CA3A3E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（2）施工现场防尘措施：临时搭设围挡，路面回填后采用机械夯实，保证次日车辆通行，运送建筑垃圾时车下垫草帘子并清洗轮胎，保证出工作区域车辆不带泥上路。</w:t>
      </w:r>
    </w:p>
    <w:p w14:paraId="2672AE0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（3）防止施工扬尘管理措施：每开始施工，由专人负责指挥交通，至施工完毕后，将建筑垃圾及时清运并清扫干净防止扬尘。</w:t>
      </w:r>
    </w:p>
    <w:p w14:paraId="2BD79E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（4）防止建筑垃圾运输遗散扬尘管理措施：建筑垃圾运输车采用封闭式保证建筑垃圾车不超载，以防止运输车遗散扬尘。</w:t>
      </w:r>
    </w:p>
    <w:p w14:paraId="293AE47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（5）防止建筑垃圾乱倒乱卸管理措施：将建筑垃圾卸到市政部门指定的消纳地点，保证做到不乱倒乱卸。</w:t>
      </w:r>
    </w:p>
    <w:p w14:paraId="5D6E1C4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5、供应商因根据以下要求做好现场周边的环境保护措施</w:t>
      </w:r>
    </w:p>
    <w:p w14:paraId="3149F8A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（1）当日的工作完成后，将施工现场回填夯实并清扫干净，以保证周边环境整洁。</w:t>
      </w:r>
    </w:p>
    <w:p w14:paraId="047984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（2）防止施工扬尘管理措施：每天开始施工，由专人负责指挥交通，至施工完毕后，将需要运走的垃圾及时运走并清扫干净防止扬尘。</w:t>
      </w:r>
    </w:p>
    <w:p w14:paraId="229490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（3）防止建筑垃圾运输遗散扬尘管理措施：建筑垃圾运输车采用封闭式保证建筑垃圾车不超载，以防止运输车遗散扬尘。</w:t>
      </w:r>
    </w:p>
    <w:p w14:paraId="2AB8760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（4）防止建筑垃圾乱倒乱卸管理措施：将建筑垃圾卸到市政部门指定的消纳地点，保证做到不乱倒乱卸。</w:t>
      </w:r>
    </w:p>
    <w:p w14:paraId="07FAF6D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（5）现场周边的环境保护措施：当日的工作完成后，将施工现场回填夯实并清扫干净，以保证周边环境整洁。</w:t>
      </w:r>
    </w:p>
    <w:p w14:paraId="610D4D1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成交供应商工作人员进入工作区域应遵守采购人管理制度；成交供应商工作人员在工作时应遵守安全规则，工作时要设围栏告示牌，如因成交供应商清运垃圾时造成的人员伤亡和设备损失，由成交供应商独立承担相应的损害赔偿责任。成交供应商应做好清运垃圾的安全措施，因清运垃圾的成交供应商职工人身伤害，与采购人无关；造成学校或其他人员人身伤害，由成交供应商全权赔偿。</w:t>
      </w:r>
    </w:p>
    <w:p w14:paraId="0299859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7、供应商成交后须严格按照谈判响应确认的报价进行收费，若出现《谈判应答一览明细表》以外的，须承诺必须是市场最低价。</w:t>
      </w:r>
    </w:p>
    <w:p w14:paraId="16EA9C3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8、在工作期内，成交供应商应负责其清运人员的交通、食宿等费用和清运所产生的货物包装和往返运费等均由成交供应商承担。</w:t>
      </w:r>
    </w:p>
    <w:p w14:paraId="3B642EA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9、成交供应商不得将采购人委托的建筑垃圾清运工作项目转包或分包；一经发现，采购人有权即刻终止合同，如对采购人造成损失的，采购人有权保留追究其赔偿的法律责任。</w:t>
      </w:r>
    </w:p>
    <w:p w14:paraId="73538438">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宋体" w:hAnsi="宋体" w:eastAsia="宋体" w:cs="宋体"/>
          <w:sz w:val="24"/>
          <w:szCs w:val="24"/>
        </w:rPr>
      </w:pPr>
    </w:p>
    <w:p w14:paraId="6F404D2B">
      <w:pPr>
        <w:pStyle w:val="2"/>
        <w:ind w:left="0" w:leftChars="0" w:firstLine="0" w:firstLineChars="0"/>
        <w:rPr>
          <w:rFonts w:ascii="宋体" w:hAnsi="宋体"/>
          <w:b/>
          <w:sz w:val="24"/>
          <w:highlight w:val="none"/>
        </w:rPr>
      </w:pPr>
    </w:p>
    <w:p w14:paraId="30976120">
      <w:pPr>
        <w:pStyle w:val="2"/>
        <w:rPr>
          <w:rFonts w:hint="eastAsia" w:ascii="宋体" w:hAnsi="宋体"/>
          <w:b/>
          <w:sz w:val="24"/>
          <w:highlight w:val="none"/>
        </w:rPr>
      </w:pPr>
      <w:r>
        <w:rPr>
          <w:rFonts w:hint="eastAsia" w:ascii="宋体" w:hAnsi="宋体"/>
          <w:b/>
          <w:sz w:val="24"/>
          <w:highlight w:val="none"/>
        </w:rPr>
        <w:t>注：以上“技术要求”为实质性要求，必须完全满足，否则响应无效。</w:t>
      </w:r>
    </w:p>
    <w:p w14:paraId="32FB5159">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FF7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2025-04-11T02:21:33Z</dcterms:created>
  <dc:creator>Administrator</dc:creator>
  <cp:lastModifiedBy>鼎跃</cp:lastModifiedBy>
  <dcterms:modified xsi:type="dcterms:W3CDTF">2025-04-11T02:21:36Z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eyJoZGlkIjoiOTExZTBkYjM3NGJmY2I0MTc2N2Q0NTNjNTFhNjAxYjkiLCJ1c2VySWQiOiI0NTczODY4MTgifQ==</vt:lpwstr>
  </property>
  <property fmtid="{D5CDD505-2E9C-101B-9397-08002B2CF9AE}" pid="4" name="ICV">
    <vt:lpwstr>0A06BE7ED73148C5AC318F32899E7552_12</vt:lpwstr>
  </property>
</Properties>
</file>