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5ED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984EFF">
      <w:pPr>
        <w:pStyle w:val="2"/>
        <w:spacing w:before="0" w:after="0" w:line="460" w:lineRule="exact"/>
        <w:rPr>
          <w:rFonts w:ascii="微软雅黑" w:hAnsi="微软雅黑" w:eastAsia="微软雅黑" w:cs="黑体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0" w:name="_Toc461530632"/>
      <w:r>
        <w:rPr>
          <w:rFonts w:hint="eastAsia" w:ascii="微软雅黑" w:hAnsi="微软雅黑" w:eastAsia="微软雅黑" w:cs="黑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附件1：</w:t>
      </w:r>
    </w:p>
    <w:p w14:paraId="189985E9">
      <w:pPr>
        <w:pStyle w:val="2"/>
        <w:spacing w:before="0" w:after="0" w:line="460" w:lineRule="exact"/>
        <w:jc w:val="center"/>
        <w:rPr>
          <w:rFonts w:ascii="微软雅黑" w:hAnsi="微软雅黑" w:eastAsia="微软雅黑" w:cs="黑体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1" w:name="OLE_LINK6"/>
      <w:bookmarkStart w:id="2" w:name="OLE_LINK5"/>
      <w:bookmarkStart w:id="3" w:name="OLE_LINK3"/>
      <w:bookmarkStart w:id="4" w:name="OLE_LINK4"/>
      <w:r>
        <w:rPr>
          <w:rFonts w:hint="eastAsia" w:ascii="微软雅黑" w:hAnsi="微软雅黑" w:eastAsia="微软雅黑" w:cs="黑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糖尿病慢病管理信息系统</w:t>
      </w:r>
      <w:bookmarkEnd w:id="1"/>
      <w:bookmarkEnd w:id="2"/>
      <w:r>
        <w:rPr>
          <w:rFonts w:hint="eastAsia" w:ascii="微软雅黑" w:hAnsi="微软雅黑" w:eastAsia="微软雅黑" w:cs="黑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项目</w:t>
      </w:r>
      <w:bookmarkEnd w:id="3"/>
      <w:bookmarkEnd w:id="4"/>
      <w:r>
        <w:rPr>
          <w:rFonts w:hint="eastAsia" w:ascii="微软雅黑" w:hAnsi="微软雅黑" w:eastAsia="微软雅黑" w:cs="黑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市场调研需求</w:t>
      </w:r>
      <w:bookmarkEnd w:id="0"/>
    </w:p>
    <w:p w14:paraId="42F3CA1A">
      <w:pPr>
        <w:rPr>
          <w:rFonts w:ascii="微软雅黑" w:hAnsi="微软雅黑" w:eastAsia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（一）项目需求表</w:t>
      </w:r>
    </w:p>
    <w:tbl>
      <w:tblPr>
        <w:tblStyle w:val="3"/>
        <w:tblpPr w:leftFromText="180" w:rightFromText="180" w:vertAnchor="text" w:horzAnchor="page" w:tblpX="1402" w:tblpY="174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6245"/>
      </w:tblGrid>
      <w:tr w14:paraId="7FBC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30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3EAE558">
            <w:pPr>
              <w:spacing w:line="360" w:lineRule="auto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9" w:name="_GoBack"/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885950" cy="1355725"/>
                      <wp:effectExtent l="2540" t="3810" r="16510" b="12065"/>
                      <wp:wrapNone/>
                      <wp:docPr id="7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355725"/>
                                <a:chOff x="1716" y="3057"/>
                                <a:chExt cx="2805" cy="2330"/>
                              </a:xfrm>
                            </wpg:grpSpPr>
                            <wps:wsp>
                              <wps:cNvPr id="1" name="直接连接符 7"/>
                              <wps:cNvCnPr/>
                              <wps:spPr>
                                <a:xfrm>
                                  <a:off x="1716" y="3057"/>
                                  <a:ext cx="2805" cy="23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文本框 9"/>
                              <wps:cNvSpPr txBox="1"/>
                              <wps:spPr>
                                <a:xfrm>
                                  <a:off x="2769" y="319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79922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项务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3" name="文本框 10"/>
                              <wps:cNvSpPr txBox="1"/>
                              <wps:spPr>
                                <a:xfrm>
                                  <a:off x="3184" y="354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90A64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4" name="文本框 11"/>
                              <wps:cNvSpPr txBox="1"/>
                              <wps:spPr>
                                <a:xfrm>
                                  <a:off x="3599" y="388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4AD705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5" name="文本框 12"/>
                              <wps:cNvSpPr txBox="1"/>
                              <wps:spPr>
                                <a:xfrm>
                                  <a:off x="4014" y="423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266E5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6" name="文本框 13"/>
                              <wps:cNvSpPr txBox="1"/>
                              <wps:spPr>
                                <a:xfrm>
                                  <a:off x="2140" y="406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86AEE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  <wps:wsp>
                              <wps:cNvPr id="9" name="文本框 14"/>
                              <wps:cNvSpPr txBox="1"/>
                              <wps:spPr>
                                <a:xfrm>
                                  <a:off x="2987" y="476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C2411">
                                    <w:pPr>
                                      <w:snapToGrid w:val="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5" o:spid="_x0000_s1026" o:spt="203" style="position:absolute;left:0pt;margin-left:-4.65pt;margin-top:0pt;height:106.75pt;width:148.5pt;z-index:251659264;mso-width-relative:page;mso-height-relative:page;" coordorigin="1716,3057" coordsize="2805,2330" o:gfxdata="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VXJ91NgAAAAHAQAADwAAAAAAAAABACAAAAAiAAAAZHJzL2Rvd25yZXYueG1sUEsBAhQAFAAAAAgA&#10;h07iQLP1A497AwAAcQ8AAA4AAAAAAAAAAQAgAAAAJwEAAGRycy9lMm9Eb2MueG1sUEsFBgAAAAAG&#10;AAYAWQEAABQHAAAAAA==&#10;">
                      <o:lock v:ext="edit" aspectratio="f"/>
                      <v:line id="直接连接符 7" o:spid="_x0000_s1026" o:spt="20" style="position:absolute;left:1716;top:3057;height:2330;width:2805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9" o:spid="_x0000_s1026" o:spt="202" type="#_x0000_t202" style="position:absolute;left:2769;top:3199;height:300;width:3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0779922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项务</w:t>
                              </w:r>
                            </w:p>
                          </w:txbxContent>
                        </v:textbox>
                      </v:shape>
                      <v:shape id="文本框 10" o:spid="_x0000_s1026" o:spt="202" type="#_x0000_t202" style="position:absolute;left:3184;top:3544;height:300;width:30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D390A64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文本框 11" o:spid="_x0000_s1026" o:spt="202" type="#_x0000_t202" style="position:absolute;left:3599;top:3888;height:300;width:30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B4AD705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4014;top:4233;height:300;width:3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10266E5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称</w:t>
                              </w:r>
                            </w:p>
                          </w:txbxContent>
                        </v:textbox>
                      </v:shape>
                      <v:shape id="文本框 13" o:spid="_x0000_s1026" o:spt="202" type="#_x0000_t202" style="position:absolute;left:2140;top:4061;height:300;width:30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EE86AEE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文本框 14" o:spid="_x0000_s1026" o:spt="202" type="#_x0000_t202" style="position:absolute;left:2987;top:4765;height:300;width:3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112C2411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9"/>
          </w:p>
        </w:tc>
        <w:tc>
          <w:tcPr>
            <w:tcW w:w="6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E034EE">
            <w:pPr>
              <w:spacing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糖尿病慢病管理信息系统项目</w:t>
            </w:r>
          </w:p>
        </w:tc>
      </w:tr>
      <w:tr w14:paraId="7777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3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D827">
            <w:pPr>
              <w:spacing w:line="900" w:lineRule="exact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0BC687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</w:tr>
      <w:tr w14:paraId="456A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3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C61A">
            <w:pPr>
              <w:spacing w:line="900" w:lineRule="exact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9CCF86">
            <w:pPr>
              <w:spacing w:line="900" w:lineRule="exact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</w:tc>
      </w:tr>
      <w:tr w14:paraId="0210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3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0ADF">
            <w:pPr>
              <w:spacing w:line="900" w:lineRule="exact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服务地点</w:t>
            </w:r>
          </w:p>
        </w:tc>
        <w:tc>
          <w:tcPr>
            <w:tcW w:w="6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FDDB23">
            <w:pPr>
              <w:spacing w:line="900" w:lineRule="exact"/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医院指定地点</w:t>
            </w:r>
          </w:p>
        </w:tc>
      </w:tr>
    </w:tbl>
    <w:p w14:paraId="6D3DF03B">
      <w:pPr>
        <w:adjustRightInd w:val="0"/>
        <w:snapToGrid w:val="0"/>
        <w:spacing w:line="432" w:lineRule="auto"/>
        <w:rPr>
          <w:rFonts w:ascii="微软雅黑" w:hAnsi="微软雅黑" w:eastAsia="微软雅黑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 w14:paraId="18938184">
      <w:pPr>
        <w:rPr>
          <w:rFonts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bookmarkStart w:id="5" w:name="OLE_LINK2"/>
      <w:bookmarkStart w:id="6" w:name="OLE_LINK1"/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（二）技术要求</w:t>
      </w:r>
    </w:p>
    <w:bookmarkEnd w:id="5"/>
    <w:bookmarkEnd w:id="6"/>
    <w:p w14:paraId="143FB89D">
      <w:pPr>
        <w:rPr>
          <w:rFonts w:ascii="微软雅黑" w:hAnsi="微软雅黑" w:eastAsia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74"/>
        <w:gridCol w:w="6495"/>
      </w:tblGrid>
      <w:tr w14:paraId="343F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9" w:type="pct"/>
            <w:vAlign w:val="center"/>
          </w:tcPr>
          <w:p w14:paraId="6A145D6A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7" w:type="pct"/>
            <w:vAlign w:val="center"/>
          </w:tcPr>
          <w:p w14:paraId="4251D3E3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3864" w:type="pct"/>
            <w:vAlign w:val="center"/>
          </w:tcPr>
          <w:p w14:paraId="55B43445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27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74917BDD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44AC70D9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部署架构</w:t>
            </w:r>
          </w:p>
        </w:tc>
        <w:tc>
          <w:tcPr>
            <w:tcW w:w="3864" w:type="pct"/>
            <w:vAlign w:val="center"/>
          </w:tcPr>
          <w:p w14:paraId="71659560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云平台部署，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三级等保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测评要求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，支持弹性扩展。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提供三级等保备案及测评报告复印件并加盖供应商公章）</w:t>
            </w:r>
          </w:p>
        </w:tc>
      </w:tr>
      <w:tr w14:paraId="4D8A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18B4BBE3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54907DA4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系统架构</w:t>
            </w:r>
          </w:p>
        </w:tc>
        <w:tc>
          <w:tcPr>
            <w:tcW w:w="3864" w:type="pct"/>
            <w:vAlign w:val="center"/>
          </w:tcPr>
          <w:p w14:paraId="51241E32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采用B/S架构，前端Vue/React，后端Java Spring Boot或Python Django框架。</w:t>
            </w:r>
          </w:p>
        </w:tc>
      </w:tr>
      <w:tr w14:paraId="6BFE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3D98F3B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18897E2C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3864" w:type="pct"/>
            <w:vAlign w:val="center"/>
          </w:tcPr>
          <w:p w14:paraId="65C6F4F7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采用MySQL/PostgreSQL数据库，支持数据加密存储和异地容灾备份。</w:t>
            </w:r>
          </w:p>
        </w:tc>
      </w:tr>
      <w:tr w14:paraId="5FF7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57223630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0A16EDB6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</w:tc>
        <w:tc>
          <w:tcPr>
            <w:tcW w:w="3864" w:type="pct"/>
            <w:vAlign w:val="center"/>
          </w:tcPr>
          <w:p w14:paraId="5174E942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提供全程HTTPS传输，满足国家数据安全合规要求，内置防火墙与访问控制策略。</w:t>
            </w:r>
          </w:p>
        </w:tc>
      </w:tr>
      <w:tr w14:paraId="57AA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B6E88EC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5C83A31D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移动端支持</w:t>
            </w:r>
          </w:p>
        </w:tc>
        <w:tc>
          <w:tcPr>
            <w:tcW w:w="3864" w:type="pct"/>
            <w:vAlign w:val="center"/>
          </w:tcPr>
          <w:p w14:paraId="5E6BD497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▲移动端支持微信小程序或H5方式访问，操作延迟不超过2秒，支持扫码快速访问。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（供应商提供系统功能截图并加盖供应商公章）</w:t>
            </w:r>
          </w:p>
        </w:tc>
      </w:tr>
      <w:tr w14:paraId="4D13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5502DDA7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15EB3330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糖尿病档案管理</w:t>
            </w:r>
          </w:p>
        </w:tc>
        <w:tc>
          <w:tcPr>
            <w:tcW w:w="3864" w:type="pct"/>
            <w:vAlign w:val="center"/>
          </w:tcPr>
          <w:p w14:paraId="5DC7CCE2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▲建立并动态更新电子健康档案，详细记录个人基本信息（包括年龄、性别、家族病史、生活习惯等）、既往病史及体检结果等。支持居民健康档案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、实现医院现有的MMC系统平台数据对接，支持MMC系统数据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导入、动态更新和数据导出。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支持家庭医生健康服务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检测数据将通过信息化系统实时上传至电子健康档案，确保健康管理的连续性和精准性。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（提供系统功能截图并加盖供应商公章）</w:t>
            </w:r>
          </w:p>
        </w:tc>
      </w:tr>
      <w:tr w14:paraId="3313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240327D8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3788C727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风险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评估模块</w:t>
            </w:r>
          </w:p>
        </w:tc>
        <w:tc>
          <w:tcPr>
            <w:tcW w:w="3864" w:type="pct"/>
            <w:vAlign w:val="center"/>
          </w:tcPr>
          <w:p w14:paraId="2E16BCDF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▲支持自定义糖尿病风险评估问卷，目标人群在信息平台中填写《南昌市糖尿病风险评估表》，收集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目标人群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基本信息、生活方式、既往疾病史、家族史、用药史、体格检查等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问卷调查进行风险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评估</w:t>
            </w: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,建立智能筛选机制，</w:t>
            </w: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自动评分、分类与高危人群识别。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（提供系统功能截图并加盖供应商公章）</w:t>
            </w:r>
          </w:p>
        </w:tc>
      </w:tr>
      <w:tr w14:paraId="6877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" w:type="pct"/>
            <w:vAlign w:val="center"/>
          </w:tcPr>
          <w:p w14:paraId="05D117FB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2A1712FF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风险评估质量控制</w:t>
            </w:r>
          </w:p>
        </w:tc>
        <w:tc>
          <w:tcPr>
            <w:tcW w:w="3864" w:type="pct"/>
            <w:vAlign w:val="center"/>
          </w:tcPr>
          <w:p w14:paraId="528E7CD6">
            <w:pP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信息管理平台采取随机抽样的方式，确保数据安全、完整。抽取一定比例的问卷推送上级复核。</w:t>
            </w:r>
          </w:p>
        </w:tc>
      </w:tr>
      <w:tr w14:paraId="49AB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" w:type="pct"/>
            <w:vAlign w:val="center"/>
          </w:tcPr>
          <w:p w14:paraId="4283787B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6DDBDC1A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个性化健康干预</w:t>
            </w:r>
          </w:p>
        </w:tc>
        <w:tc>
          <w:tcPr>
            <w:tcW w:w="3864" w:type="pct"/>
            <w:vAlign w:val="center"/>
          </w:tcPr>
          <w:p w14:paraId="752216E2">
            <w:pP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借助智能化应用技术，通过移动段应用精准推送个性化健康管理服务。每半年提供一次由临床营养师进行的膳食指导（包含食谱制定）、运动康复师定制的运动处方、心理健康评估（采用PHQ-9/GAD-7量表）及相应干预措施，同时提供生活方式指导（如睡眠、压力管理等）。</w:t>
            </w:r>
          </w:p>
        </w:tc>
      </w:tr>
      <w:tr w14:paraId="53A5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20F0B8C8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3C843BA2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临床干预</w:t>
            </w:r>
          </w:p>
        </w:tc>
        <w:tc>
          <w:tcPr>
            <w:tcW w:w="3864" w:type="pct"/>
            <w:vAlign w:val="center"/>
          </w:tcPr>
          <w:p w14:paraId="6E86B4DF">
            <w:pP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针对确诊的糖尿病患者，依据临床诊断提供药物干预服务。设立药师用药咨询专线，并利用AI技术在固定时段为患者解答用药疑问，确保用药安全与依从性。</w:t>
            </w:r>
          </w:p>
        </w:tc>
      </w:tr>
      <w:tr w14:paraId="37A7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A5D8B78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1E8AA177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预约管理</w:t>
            </w:r>
          </w:p>
        </w:tc>
        <w:tc>
          <w:tcPr>
            <w:tcW w:w="3864" w:type="pct"/>
            <w:vAlign w:val="center"/>
          </w:tcPr>
          <w:p w14:paraId="78D04AF7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支持医院端号源发布、社区端预约登记和现场扫码签到管理。</w:t>
            </w:r>
          </w:p>
        </w:tc>
      </w:tr>
      <w:tr w14:paraId="0267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6AC9342F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35A7087A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报告管理</w:t>
            </w:r>
          </w:p>
        </w:tc>
        <w:tc>
          <w:tcPr>
            <w:tcW w:w="3864" w:type="pct"/>
            <w:vAlign w:val="center"/>
          </w:tcPr>
          <w:p w14:paraId="3DA0193C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支持批量导入医院检查结果，自动生成结构化报告并及时反馈给社区。</w:t>
            </w:r>
          </w:p>
        </w:tc>
      </w:tr>
      <w:tr w14:paraId="3D6A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6219CA9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4B7221DC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随访管理</w:t>
            </w:r>
          </w:p>
        </w:tc>
        <w:tc>
          <w:tcPr>
            <w:tcW w:w="3864" w:type="pct"/>
            <w:vAlign w:val="center"/>
          </w:tcPr>
          <w:p w14:paraId="3DB5E6A4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自动生成随访任务，支持短信、AI语音随访提醒，记录随访情况。</w:t>
            </w:r>
          </w:p>
        </w:tc>
      </w:tr>
      <w:tr w14:paraId="5C16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FEA492A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54F878D6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权限管理</w:t>
            </w:r>
          </w:p>
        </w:tc>
        <w:tc>
          <w:tcPr>
            <w:tcW w:w="3864" w:type="pct"/>
            <w:vAlign w:val="center"/>
          </w:tcPr>
          <w:p w14:paraId="7CE79F84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▲基于RBAC的权限控制，满足医疗数据访问的最小权限原则与数据隔离要求。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（提供系统功能截图并加盖供应商公章）</w:t>
            </w:r>
          </w:p>
        </w:tc>
      </w:tr>
      <w:tr w14:paraId="305F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71ED79B5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1A835514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数据统计分析</w:t>
            </w:r>
          </w:p>
        </w:tc>
        <w:tc>
          <w:tcPr>
            <w:tcW w:w="3864" w:type="pct"/>
            <w:vAlign w:val="center"/>
          </w:tcPr>
          <w:p w14:paraId="754DC337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支持多维度统计分析，图表可视化展示，并提供Excel导出功能。</w:t>
            </w:r>
          </w:p>
        </w:tc>
      </w:tr>
      <w:tr w14:paraId="3375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2A878B0A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3382444A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消息通知中心</w:t>
            </w:r>
          </w:p>
        </w:tc>
        <w:tc>
          <w:tcPr>
            <w:tcW w:w="3864" w:type="pct"/>
            <w:vAlign w:val="center"/>
          </w:tcPr>
          <w:p w14:paraId="124EABC4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支持系统公告、任务提醒和医保政策信息推送功能。</w:t>
            </w:r>
          </w:p>
        </w:tc>
      </w:tr>
      <w:tr w14:paraId="5E3E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67FCA787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35A6B8E0"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后台系统配置</w:t>
            </w:r>
          </w:p>
        </w:tc>
        <w:tc>
          <w:tcPr>
            <w:tcW w:w="3864" w:type="pct"/>
            <w:vAlign w:val="center"/>
          </w:tcPr>
          <w:p w14:paraId="6EDAE571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支持数据字典、日志管理、模块开关配置和API接口管理功能。</w:t>
            </w:r>
          </w:p>
        </w:tc>
      </w:tr>
      <w:tr w14:paraId="7768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0AAA6F2C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0F32B24D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数据传输安全</w:t>
            </w:r>
          </w:p>
        </w:tc>
        <w:tc>
          <w:tcPr>
            <w:tcW w:w="3864" w:type="pct"/>
            <w:vAlign w:val="center"/>
          </w:tcPr>
          <w:p w14:paraId="075FC40F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支持HTTPS/TLS1.2以上的数据加密传输，满足国家网络安全标准。</w:t>
            </w:r>
          </w:p>
        </w:tc>
      </w:tr>
      <w:tr w14:paraId="4105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7570A890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5EE47508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日志审计</w:t>
            </w:r>
          </w:p>
        </w:tc>
        <w:tc>
          <w:tcPr>
            <w:tcW w:w="3864" w:type="pct"/>
            <w:vAlign w:val="center"/>
          </w:tcPr>
          <w:p w14:paraId="78FFA06D">
            <w:pPr>
              <w:rPr>
                <w:rFonts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▲记录系统登录、重要数据操作、数据导出等日志信息，日志保留不少于180天。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（提供系统功能截图并加盖供应商公章）</w:t>
            </w:r>
          </w:p>
        </w:tc>
      </w:tr>
      <w:tr w14:paraId="111E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9" w:type="pct"/>
            <w:vAlign w:val="center"/>
          </w:tcPr>
          <w:p w14:paraId="45B11CCB"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微软雅黑" w:hAnsi="微软雅黑" w:eastAsia="微软雅黑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pct"/>
            <w:vAlign w:val="center"/>
          </w:tcPr>
          <w:p w14:paraId="5987409B">
            <w:pPr>
              <w:jc w:val="center"/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动态血糖</w:t>
            </w:r>
          </w:p>
        </w:tc>
        <w:tc>
          <w:tcPr>
            <w:tcW w:w="3864" w:type="pct"/>
            <w:vAlign w:val="center"/>
          </w:tcPr>
          <w:p w14:paraId="4CA4D3F4">
            <w:pPr>
              <w:rPr>
                <w:rFonts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支持后台批量上传患者动态血糖结果，由医生上传到后台，病人前端与后台可看结果</w:t>
            </w:r>
          </w:p>
        </w:tc>
      </w:tr>
    </w:tbl>
    <w:p w14:paraId="0DAFF5DE">
      <w:pPr>
        <w:rPr>
          <w:rFonts w:ascii="微软雅黑" w:hAnsi="微软雅黑" w:eastAsia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 w14:paraId="101D3539">
      <w:pPr>
        <w:rPr>
          <w:rFonts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bookmarkStart w:id="7" w:name="_Toc106360195"/>
      <w:bookmarkStart w:id="8" w:name="_Toc106360280"/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（三）服务标准和要求</w:t>
      </w:r>
      <w:bookmarkEnd w:id="7"/>
      <w:bookmarkEnd w:id="8"/>
    </w:p>
    <w:p w14:paraId="7F1FCEDB">
      <w:pPr>
        <w:tabs>
          <w:tab w:val="left" w:pos="900"/>
          <w:tab w:val="left" w:pos="1320"/>
        </w:tabs>
        <w:spacing w:line="480" w:lineRule="exact"/>
        <w:rPr>
          <w:rFonts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楷体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1）服务内容</w:t>
      </w:r>
    </w:p>
    <w:p w14:paraId="4F02BC9E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为进一步提高糖尿病早期发现与精准管理水平，建设一套专业的糖尿病慢病管理信息系统，集成市第一医院MMC中心现有信息系统，实现社区基层医疗机构与医院之间的数据联通、医保对接、高危人群随访管理，提高医疗服务效率及医保政策的落地实效。</w:t>
      </w:r>
    </w:p>
    <w:p w14:paraId="1C476B62">
      <w:pPr>
        <w:tabs>
          <w:tab w:val="left" w:pos="900"/>
          <w:tab w:val="left" w:pos="1320"/>
        </w:tabs>
        <w:spacing w:line="480" w:lineRule="exact"/>
        <w:rPr>
          <w:rFonts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（2）服务要求</w:t>
      </w:r>
    </w:p>
    <w:p w14:paraId="13667E47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1.合同签订后30天内完成系统部署与试运行，并提供初步数据导入服务。</w:t>
      </w:r>
    </w:p>
    <w:p w14:paraId="454E215F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2.提供系统操作培训不少于1次，培训材料详尽。</w:t>
      </w:r>
    </w:p>
    <w:p w14:paraId="11FE3622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3.免费维保期不少于1年，包括日常问题修复、远程支持与接口维护。</w:t>
      </w:r>
    </w:p>
    <w:p w14:paraId="4CB088E1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4.支持未来新增慢病管理模块与其他功能扩展，无需重新设计架构。</w:t>
      </w:r>
    </w:p>
    <w:p w14:paraId="499E878D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5.云平台服务到期后，系统支持本地化部署及数据迁移。</w:t>
      </w:r>
    </w:p>
    <w:p w14:paraId="6AFED253">
      <w:pPr>
        <w:tabs>
          <w:tab w:val="left" w:pos="900"/>
          <w:tab w:val="left" w:pos="1320"/>
        </w:tabs>
        <w:spacing w:line="480" w:lineRule="exact"/>
        <w:rPr>
          <w:rFonts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楷体"/>
          <w:color w:val="000000" w:themeColor="text1"/>
          <w:szCs w:val="20"/>
          <w14:textFill>
            <w14:solidFill>
              <w14:schemeClr w14:val="tx1"/>
            </w14:solidFill>
          </w14:textFill>
        </w:rPr>
        <w:t>（3）商务要求</w:t>
      </w:r>
    </w:p>
    <w:p w14:paraId="089B8CD1">
      <w:pPr>
        <w:tabs>
          <w:tab w:val="left" w:pos="900"/>
          <w:tab w:val="left" w:pos="1320"/>
        </w:tabs>
        <w:spacing w:line="480" w:lineRule="exact"/>
        <w:ind w:firstLine="420" w:firstLineChars="200"/>
        <w:rPr>
          <w:rFonts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Cs w:val="20"/>
          <w14:textFill>
            <w14:solidFill>
              <w14:schemeClr w14:val="tx1"/>
            </w14:solidFill>
          </w14:textFill>
        </w:rPr>
        <w:t>1.服务期两年。</w:t>
      </w:r>
    </w:p>
    <w:p w14:paraId="12C63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D7EAA"/>
    <w:multiLevelType w:val="multilevel"/>
    <w:tmpl w:val="024D7EA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2025-07-11T09:08:49Z</dcterms:created>
  <dc:creator>Administrator</dc:creator>
  <cp:lastModifiedBy>黄镁淇</cp:lastModifiedBy>
  <dcterms:modified xsi:type="dcterms:W3CDTF">2025-07-11T09:09:01Z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eyJoZGlkIjoiNTljNDY4ZTRkMDljOTUyM2E3ZmUxODEwNTRkMmRhYmMiLCJ1c2VySWQiOiI1Mjc2MDU0NTkifQ==</vt:lpwstr>
  </property>
  <property fmtid="{D5CDD505-2E9C-101B-9397-08002B2CF9AE}" pid="4" name="ICV">
    <vt:lpwstr>09D64D8472544C18A7CA2E865988AE57_12</vt:lpwstr>
  </property>
</Properties>
</file>