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86F9D">
      <w:pPr>
        <w:pStyle w:val="6"/>
        <w:numPr>
          <w:ilvl w:val="0"/>
          <w:numId w:val="0"/>
        </w:numPr>
        <w:spacing w:before="0" w:after="0"/>
        <w:jc w:val="center"/>
        <w:rPr>
          <w:rFonts w:hint="eastAsia" w:ascii="宋体" w:hAnsi="宋体" w:eastAsia="宋体"/>
          <w:bCs/>
          <w:color w:val="auto"/>
          <w:sz w:val="28"/>
          <w:szCs w:val="28"/>
          <w:highlight w:val="none"/>
          <w:lang w:val="en-US" w:eastAsia="zh-CN"/>
        </w:rPr>
      </w:pPr>
      <w:bookmarkStart w:id="0" w:name="_Toc6437"/>
      <w:bookmarkStart w:id="1" w:name="_Toc1819"/>
      <w:r>
        <w:rPr>
          <w:rFonts w:hint="eastAsia" w:ascii="宋体" w:hAnsi="宋体" w:eastAsia="宋体"/>
          <w:bCs/>
          <w:color w:val="auto"/>
          <w:sz w:val="28"/>
          <w:szCs w:val="28"/>
          <w:highlight w:val="none"/>
        </w:rPr>
        <w:t>一、</w:t>
      </w:r>
      <w:bookmarkEnd w:id="0"/>
      <w:r>
        <w:rPr>
          <w:rFonts w:hint="eastAsia" w:ascii="宋体" w:hAnsi="宋体" w:eastAsia="宋体"/>
          <w:bCs/>
          <w:color w:val="auto"/>
          <w:sz w:val="28"/>
          <w:szCs w:val="28"/>
          <w:highlight w:val="none"/>
          <w:lang w:val="en-US" w:eastAsia="zh-CN"/>
        </w:rPr>
        <w:t>标的清单</w:t>
      </w:r>
      <w:bookmarkEnd w:id="1"/>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5287"/>
        <w:gridCol w:w="2359"/>
      </w:tblGrid>
      <w:tr w14:paraId="62A6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12" w:type="pct"/>
            <w:noWrap w:val="0"/>
            <w:vAlign w:val="center"/>
          </w:tcPr>
          <w:p w14:paraId="4806F292">
            <w:pPr>
              <w:pageBreakBefore w:val="0"/>
              <w:kinsoku/>
              <w:wordWrap/>
              <w:overflowPunct/>
              <w:topLinePunct w:val="0"/>
              <w:bidi w:val="0"/>
              <w:snapToGrid/>
              <w:spacing w:line="46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3102" w:type="pct"/>
            <w:noWrap w:val="0"/>
            <w:vAlign w:val="center"/>
          </w:tcPr>
          <w:p w14:paraId="2D19A5B7">
            <w:pPr>
              <w:pageBreakBefore w:val="0"/>
              <w:kinsoku/>
              <w:wordWrap/>
              <w:overflowPunct/>
              <w:topLinePunct w:val="0"/>
              <w:bidi w:val="0"/>
              <w:snapToGrid/>
              <w:spacing w:line="460" w:lineRule="exact"/>
              <w:jc w:val="center"/>
              <w:rPr>
                <w:rFonts w:hint="default" w:ascii="宋体" w:hAnsi="宋体" w:eastAsia="宋体" w:cs="宋体"/>
                <w:b/>
                <w:color w:val="auto"/>
                <w:kern w:val="0"/>
                <w:sz w:val="24"/>
                <w:szCs w:val="24"/>
                <w:lang w:val="en-US" w:eastAsia="zh-CN"/>
              </w:rPr>
            </w:pPr>
            <w:r>
              <w:rPr>
                <w:rFonts w:hint="default" w:ascii="宋体" w:hAnsi="宋体" w:eastAsia="宋体" w:cs="宋体"/>
                <w:b/>
                <w:color w:val="auto"/>
                <w:kern w:val="0"/>
                <w:sz w:val="24"/>
                <w:szCs w:val="24"/>
                <w:lang w:val="en-US" w:eastAsia="zh-CN"/>
              </w:rPr>
              <w:t>岗位</w:t>
            </w:r>
          </w:p>
        </w:tc>
        <w:tc>
          <w:tcPr>
            <w:tcW w:w="1384" w:type="pct"/>
            <w:noWrap w:val="0"/>
            <w:vAlign w:val="center"/>
          </w:tcPr>
          <w:p w14:paraId="4E77F53C">
            <w:pPr>
              <w:pageBreakBefore w:val="0"/>
              <w:kinsoku/>
              <w:wordWrap/>
              <w:overflowPunct/>
              <w:topLinePunct w:val="0"/>
              <w:bidi w:val="0"/>
              <w:snapToGrid/>
              <w:spacing w:line="460" w:lineRule="exac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备注</w:t>
            </w:r>
          </w:p>
        </w:tc>
      </w:tr>
      <w:tr w14:paraId="009A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12" w:type="pct"/>
            <w:noWrap w:val="0"/>
            <w:vAlign w:val="center"/>
          </w:tcPr>
          <w:p w14:paraId="787A7FDC">
            <w:pPr>
              <w:pageBreakBefore w:val="0"/>
              <w:kinsoku/>
              <w:wordWrap/>
              <w:overflowPunct/>
              <w:topLinePunct w:val="0"/>
              <w:bidi w:val="0"/>
              <w:snapToGrid/>
              <w:spacing w:line="4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3102" w:type="pct"/>
            <w:noWrap w:val="0"/>
            <w:vAlign w:val="center"/>
          </w:tcPr>
          <w:p w14:paraId="5B973716">
            <w:pPr>
              <w:pageBreakBefore w:val="0"/>
              <w:kinsoku/>
              <w:wordWrap/>
              <w:overflowPunct/>
              <w:topLinePunct w:val="0"/>
              <w:bidi w:val="0"/>
              <w:snapToGrid/>
              <w:spacing w:line="4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二类船长</w:t>
            </w:r>
          </w:p>
        </w:tc>
        <w:tc>
          <w:tcPr>
            <w:tcW w:w="1384" w:type="pct"/>
            <w:vMerge w:val="restart"/>
            <w:noWrap w:val="0"/>
            <w:vAlign w:val="center"/>
          </w:tcPr>
          <w:p w14:paraId="4A422EB5">
            <w:pPr>
              <w:pageBreakBefore w:val="0"/>
              <w:kinsoku/>
              <w:wordWrap/>
              <w:overflowPunct/>
              <w:topLinePunct w:val="0"/>
              <w:bidi w:val="0"/>
              <w:snapToGrid/>
              <w:spacing w:line="460" w:lineRule="exact"/>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本次采购只对岗位进行报价，采购数量及工作地点由</w:t>
            </w:r>
            <w:r>
              <w:rPr>
                <w:rFonts w:hint="eastAsia" w:ascii="宋体" w:hAnsi="宋体" w:eastAsia="宋体" w:cs="宋体"/>
                <w:color w:val="auto"/>
                <w:sz w:val="24"/>
                <w:szCs w:val="24"/>
                <w:lang w:val="en-US" w:eastAsia="zh-CN"/>
              </w:rPr>
              <w:t>采购人</w:t>
            </w:r>
            <w:r>
              <w:rPr>
                <w:rFonts w:hint="default" w:ascii="宋体" w:hAnsi="宋体" w:eastAsia="宋体" w:cs="宋体"/>
                <w:color w:val="auto"/>
                <w:sz w:val="24"/>
                <w:szCs w:val="24"/>
                <w:lang w:val="en-US" w:eastAsia="zh-CN"/>
              </w:rPr>
              <w:t>根据实际需求确定，人员服从</w:t>
            </w:r>
            <w:r>
              <w:rPr>
                <w:rFonts w:hint="eastAsia" w:ascii="宋体" w:hAnsi="宋体" w:eastAsia="宋体" w:cs="宋体"/>
                <w:color w:val="auto"/>
                <w:sz w:val="24"/>
                <w:szCs w:val="24"/>
                <w:lang w:val="en-US" w:eastAsia="zh-CN"/>
              </w:rPr>
              <w:t>采购人</w:t>
            </w:r>
            <w:r>
              <w:rPr>
                <w:rFonts w:hint="default" w:ascii="宋体" w:hAnsi="宋体" w:eastAsia="宋体" w:cs="宋体"/>
                <w:color w:val="auto"/>
                <w:sz w:val="24"/>
                <w:szCs w:val="24"/>
                <w:lang w:val="en-US" w:eastAsia="zh-CN"/>
              </w:rPr>
              <w:t>调配。</w:t>
            </w:r>
          </w:p>
        </w:tc>
      </w:tr>
      <w:tr w14:paraId="6F99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12" w:type="pct"/>
            <w:noWrap w:val="0"/>
            <w:vAlign w:val="center"/>
          </w:tcPr>
          <w:p w14:paraId="3C46BD80">
            <w:pPr>
              <w:pageBreakBefore w:val="0"/>
              <w:kinsoku/>
              <w:wordWrap/>
              <w:overflowPunct/>
              <w:topLinePunct w:val="0"/>
              <w:bidi w:val="0"/>
              <w:snapToGrid/>
              <w:spacing w:line="4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3102" w:type="pct"/>
            <w:noWrap w:val="0"/>
            <w:vAlign w:val="center"/>
          </w:tcPr>
          <w:p w14:paraId="363E4056">
            <w:pPr>
              <w:pageBreakBefore w:val="0"/>
              <w:kinsoku/>
              <w:wordWrap/>
              <w:overflowPunct/>
              <w:topLinePunct w:val="0"/>
              <w:bidi w:val="0"/>
              <w:snapToGrid/>
              <w:spacing w:line="4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轮机长</w:t>
            </w:r>
          </w:p>
        </w:tc>
        <w:tc>
          <w:tcPr>
            <w:tcW w:w="1384" w:type="pct"/>
            <w:vMerge w:val="continue"/>
            <w:noWrap w:val="0"/>
            <w:vAlign w:val="center"/>
          </w:tcPr>
          <w:p w14:paraId="3120B5F6">
            <w:pPr>
              <w:pageBreakBefore w:val="0"/>
              <w:kinsoku/>
              <w:wordWrap/>
              <w:overflowPunct/>
              <w:topLinePunct w:val="0"/>
              <w:bidi w:val="0"/>
              <w:snapToGrid/>
              <w:spacing w:line="460" w:lineRule="exact"/>
              <w:jc w:val="center"/>
              <w:rPr>
                <w:rFonts w:hint="eastAsia" w:ascii="宋体" w:hAnsi="宋体" w:eastAsia="宋体" w:cs="宋体"/>
                <w:color w:val="auto"/>
                <w:sz w:val="24"/>
                <w:szCs w:val="24"/>
                <w:lang w:val="en-US" w:eastAsia="zh-CN"/>
              </w:rPr>
            </w:pPr>
          </w:p>
        </w:tc>
      </w:tr>
      <w:tr w14:paraId="6B78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12" w:type="pct"/>
            <w:noWrap w:val="0"/>
            <w:vAlign w:val="center"/>
          </w:tcPr>
          <w:p w14:paraId="071D6207">
            <w:pPr>
              <w:pageBreakBefore w:val="0"/>
              <w:kinsoku/>
              <w:wordWrap/>
              <w:overflowPunct/>
              <w:topLinePunct w:val="0"/>
              <w:bidi w:val="0"/>
              <w:snapToGrid/>
              <w:spacing w:line="4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3102" w:type="pct"/>
            <w:noWrap w:val="0"/>
            <w:vAlign w:val="center"/>
          </w:tcPr>
          <w:p w14:paraId="3874BA1B">
            <w:pPr>
              <w:pageBreakBefore w:val="0"/>
              <w:kinsoku/>
              <w:wordWrap/>
              <w:overflowPunct/>
              <w:topLinePunct w:val="0"/>
              <w:bidi w:val="0"/>
              <w:snapToGrid/>
              <w:spacing w:line="4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轮机员</w:t>
            </w:r>
          </w:p>
        </w:tc>
        <w:tc>
          <w:tcPr>
            <w:tcW w:w="1384" w:type="pct"/>
            <w:vMerge w:val="continue"/>
            <w:noWrap w:val="0"/>
            <w:vAlign w:val="center"/>
          </w:tcPr>
          <w:p w14:paraId="2A12F458">
            <w:pPr>
              <w:pageBreakBefore w:val="0"/>
              <w:kinsoku/>
              <w:wordWrap/>
              <w:overflowPunct/>
              <w:topLinePunct w:val="0"/>
              <w:bidi w:val="0"/>
              <w:snapToGrid/>
              <w:spacing w:line="460" w:lineRule="exact"/>
              <w:jc w:val="center"/>
              <w:rPr>
                <w:rFonts w:hint="eastAsia" w:ascii="宋体" w:hAnsi="宋体" w:eastAsia="宋体" w:cs="宋体"/>
                <w:color w:val="auto"/>
                <w:sz w:val="24"/>
                <w:szCs w:val="24"/>
                <w:lang w:val="en-US" w:eastAsia="zh-CN"/>
              </w:rPr>
            </w:pPr>
          </w:p>
        </w:tc>
      </w:tr>
      <w:tr w14:paraId="60A1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12" w:type="pct"/>
            <w:noWrap w:val="0"/>
            <w:vAlign w:val="center"/>
          </w:tcPr>
          <w:p w14:paraId="3FA536FF">
            <w:pPr>
              <w:pageBreakBefore w:val="0"/>
              <w:kinsoku/>
              <w:wordWrap/>
              <w:overflowPunct/>
              <w:topLinePunct w:val="0"/>
              <w:bidi w:val="0"/>
              <w:snapToGrid/>
              <w:spacing w:line="4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3102" w:type="pct"/>
            <w:noWrap w:val="0"/>
            <w:vAlign w:val="center"/>
          </w:tcPr>
          <w:p w14:paraId="29B7A948">
            <w:pPr>
              <w:pageBreakBefore w:val="0"/>
              <w:kinsoku/>
              <w:wordWrap/>
              <w:overflowPunct/>
              <w:topLinePunct w:val="0"/>
              <w:bidi w:val="0"/>
              <w:snapToGrid/>
              <w:spacing w:line="4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驾驶员</w:t>
            </w:r>
          </w:p>
        </w:tc>
        <w:tc>
          <w:tcPr>
            <w:tcW w:w="1384" w:type="pct"/>
            <w:vMerge w:val="continue"/>
            <w:noWrap w:val="0"/>
            <w:vAlign w:val="center"/>
          </w:tcPr>
          <w:p w14:paraId="497CD6B6">
            <w:pPr>
              <w:pageBreakBefore w:val="0"/>
              <w:kinsoku/>
              <w:wordWrap/>
              <w:overflowPunct/>
              <w:topLinePunct w:val="0"/>
              <w:bidi w:val="0"/>
              <w:snapToGrid/>
              <w:spacing w:line="460" w:lineRule="exact"/>
              <w:jc w:val="center"/>
              <w:rPr>
                <w:rFonts w:hint="eastAsia" w:ascii="宋体" w:hAnsi="宋体" w:eastAsia="宋体" w:cs="宋体"/>
                <w:color w:val="auto"/>
                <w:sz w:val="24"/>
                <w:szCs w:val="24"/>
                <w:lang w:val="en-US" w:eastAsia="zh-CN"/>
              </w:rPr>
            </w:pPr>
          </w:p>
        </w:tc>
      </w:tr>
      <w:tr w14:paraId="0279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12" w:type="pct"/>
            <w:noWrap w:val="0"/>
            <w:vAlign w:val="center"/>
          </w:tcPr>
          <w:p w14:paraId="3924C29F">
            <w:pPr>
              <w:pageBreakBefore w:val="0"/>
              <w:kinsoku/>
              <w:wordWrap/>
              <w:overflowPunct/>
              <w:topLinePunct w:val="0"/>
              <w:bidi w:val="0"/>
              <w:snapToGrid/>
              <w:spacing w:line="4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3102" w:type="pct"/>
            <w:noWrap w:val="0"/>
            <w:vAlign w:val="center"/>
          </w:tcPr>
          <w:p w14:paraId="38D64BFB">
            <w:pPr>
              <w:pageBreakBefore w:val="0"/>
              <w:kinsoku/>
              <w:wordWrap/>
              <w:overflowPunct/>
              <w:topLinePunct w:val="0"/>
              <w:bidi w:val="0"/>
              <w:snapToGrid/>
              <w:spacing w:line="4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普通船员</w:t>
            </w:r>
          </w:p>
        </w:tc>
        <w:tc>
          <w:tcPr>
            <w:tcW w:w="1384" w:type="pct"/>
            <w:vMerge w:val="continue"/>
            <w:noWrap w:val="0"/>
            <w:vAlign w:val="center"/>
          </w:tcPr>
          <w:p w14:paraId="38CABB2E">
            <w:pPr>
              <w:pageBreakBefore w:val="0"/>
              <w:kinsoku/>
              <w:wordWrap/>
              <w:overflowPunct/>
              <w:topLinePunct w:val="0"/>
              <w:bidi w:val="0"/>
              <w:snapToGrid/>
              <w:spacing w:line="460" w:lineRule="exact"/>
              <w:jc w:val="center"/>
              <w:rPr>
                <w:rFonts w:hint="eastAsia" w:ascii="宋体" w:hAnsi="宋体" w:eastAsia="宋体" w:cs="宋体"/>
                <w:color w:val="auto"/>
                <w:sz w:val="24"/>
                <w:szCs w:val="24"/>
                <w:lang w:val="en-US" w:eastAsia="zh-CN"/>
              </w:rPr>
            </w:pPr>
          </w:p>
        </w:tc>
      </w:tr>
      <w:tr w14:paraId="30EF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12" w:type="pct"/>
            <w:noWrap w:val="0"/>
            <w:vAlign w:val="center"/>
          </w:tcPr>
          <w:p w14:paraId="4770F638">
            <w:pPr>
              <w:pageBreakBefore w:val="0"/>
              <w:kinsoku/>
              <w:wordWrap/>
              <w:overflowPunct/>
              <w:topLinePunct w:val="0"/>
              <w:bidi w:val="0"/>
              <w:snapToGrid/>
              <w:spacing w:line="4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3102" w:type="pct"/>
            <w:noWrap w:val="0"/>
            <w:vAlign w:val="center"/>
          </w:tcPr>
          <w:p w14:paraId="5F29F5E4">
            <w:pPr>
              <w:pageBreakBefore w:val="0"/>
              <w:kinsoku/>
              <w:wordWrap/>
              <w:overflowPunct/>
              <w:topLinePunct w:val="0"/>
              <w:bidi w:val="0"/>
              <w:snapToGrid/>
              <w:spacing w:line="4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挖机操作手</w:t>
            </w:r>
          </w:p>
        </w:tc>
        <w:tc>
          <w:tcPr>
            <w:tcW w:w="1384" w:type="pct"/>
            <w:vMerge w:val="continue"/>
            <w:noWrap w:val="0"/>
            <w:vAlign w:val="center"/>
          </w:tcPr>
          <w:p w14:paraId="5FEDB2A9">
            <w:pPr>
              <w:pageBreakBefore w:val="0"/>
              <w:kinsoku/>
              <w:wordWrap/>
              <w:overflowPunct/>
              <w:topLinePunct w:val="0"/>
              <w:bidi w:val="0"/>
              <w:snapToGrid/>
              <w:spacing w:line="460" w:lineRule="exact"/>
              <w:jc w:val="center"/>
              <w:rPr>
                <w:rFonts w:hint="eastAsia" w:ascii="宋体" w:hAnsi="宋体" w:eastAsia="宋体" w:cs="宋体"/>
                <w:color w:val="auto"/>
                <w:sz w:val="24"/>
                <w:szCs w:val="24"/>
                <w:lang w:val="en-US" w:eastAsia="zh-CN"/>
              </w:rPr>
            </w:pPr>
          </w:p>
        </w:tc>
      </w:tr>
    </w:tbl>
    <w:p w14:paraId="57CFC9E5">
      <w:pPr>
        <w:pStyle w:val="6"/>
        <w:numPr>
          <w:ilvl w:val="0"/>
          <w:numId w:val="0"/>
        </w:numPr>
        <w:spacing w:before="0" w:after="0"/>
        <w:jc w:val="center"/>
        <w:rPr>
          <w:rFonts w:hint="eastAsia" w:ascii="宋体" w:hAnsi="宋体" w:eastAsia="宋体"/>
          <w:bCs/>
          <w:color w:val="auto"/>
          <w:sz w:val="28"/>
          <w:szCs w:val="28"/>
          <w:highlight w:val="none"/>
        </w:rPr>
      </w:pPr>
      <w:bookmarkStart w:id="2" w:name="_Toc26107"/>
      <w:r>
        <w:rPr>
          <w:rFonts w:hint="eastAsia" w:ascii="宋体" w:hAnsi="宋体" w:eastAsia="宋体"/>
          <w:bCs/>
          <w:color w:val="auto"/>
          <w:sz w:val="28"/>
          <w:szCs w:val="28"/>
          <w:highlight w:val="none"/>
          <w:lang w:val="en-US" w:eastAsia="zh-CN"/>
        </w:rPr>
        <w:t>二</w:t>
      </w:r>
      <w:r>
        <w:rPr>
          <w:rFonts w:hint="eastAsia" w:ascii="宋体" w:hAnsi="宋体" w:eastAsia="宋体"/>
          <w:bCs/>
          <w:color w:val="auto"/>
          <w:sz w:val="28"/>
          <w:szCs w:val="28"/>
          <w:highlight w:val="none"/>
        </w:rPr>
        <w:t>、技术要求</w:t>
      </w:r>
      <w:bookmarkEnd w:id="2"/>
    </w:p>
    <w:p w14:paraId="0DCE9A9C">
      <w:pPr>
        <w:rPr>
          <w:rFonts w:hint="eastAsia"/>
          <w:color w:val="auto"/>
        </w:rPr>
      </w:pPr>
    </w:p>
    <w:p w14:paraId="214669BC">
      <w:pPr>
        <w:pStyle w:val="3"/>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为保证</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2025年度</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承接的全省航养、应急抢通、经营性疏浚项目的工作顺利进行，需对</w:t>
      </w:r>
      <w:r>
        <w:rPr>
          <w:rFonts w:hint="eastAsia" w:ascii="宋体" w:hAnsi="宋体" w:eastAsia="宋体" w:cs="宋体"/>
          <w:color w:val="auto"/>
          <w:sz w:val="24"/>
          <w:szCs w:val="24"/>
          <w:highlight w:val="none"/>
          <w:lang w:eastAsia="zh-CN"/>
        </w:rPr>
        <w:t>劳务分包</w:t>
      </w:r>
      <w:r>
        <w:rPr>
          <w:rFonts w:hint="eastAsia" w:ascii="宋体" w:hAnsi="宋体" w:eastAsia="宋体" w:cs="宋体"/>
          <w:color w:val="auto"/>
          <w:sz w:val="24"/>
          <w:szCs w:val="24"/>
          <w:highlight w:val="none"/>
        </w:rPr>
        <w:t>进行采购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以下是服务人员要求：</w:t>
      </w:r>
    </w:p>
    <w:p w14:paraId="1BCB0BCC">
      <w:pPr>
        <w:pStyle w:val="3"/>
        <w:keepNext w:val="0"/>
        <w:keepLines w:val="0"/>
        <w:pageBreakBefore w:val="0"/>
        <w:widowControl w:val="0"/>
        <w:kinsoku/>
        <w:wordWrap/>
        <w:overflowPunct/>
        <w:topLinePunct w:val="0"/>
        <w:autoSpaceDE/>
        <w:autoSpaceDN/>
        <w:bidi w:val="0"/>
        <w:adjustRightInd/>
        <w:snapToGrid/>
        <w:spacing w:line="460" w:lineRule="exact"/>
        <w:ind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1、实行个人健康状况承诺制。作业工人</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如实说明自身既往病史并确认承诺，不得刻意隐瞒或谎报。不得允许录用患有高血压（≥140/90mmHg）、心脏病、贫血病、癫痫病、恶性肿瘤、肾病综合征、艾滋病患者、人类免疫缺陷病毒（HIV）、既往发生患病史以及其它患病的人。</w:t>
      </w:r>
    </w:p>
    <w:p w14:paraId="32AE4CDF">
      <w:pPr>
        <w:pStyle w:val="3"/>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人员退场前，提前7天告知</w:t>
      </w:r>
      <w:r>
        <w:rPr>
          <w:rFonts w:hint="eastAsia" w:ascii="宋体" w:hAnsi="宋体" w:eastAsia="宋体" w:cs="宋体"/>
          <w:color w:val="auto"/>
          <w:sz w:val="24"/>
          <w:szCs w:val="24"/>
          <w:highlight w:val="none"/>
          <w:lang w:eastAsia="zh-CN"/>
        </w:rPr>
        <w:t>项目经理部</w:t>
      </w:r>
      <w:r>
        <w:rPr>
          <w:rFonts w:hint="eastAsia" w:ascii="宋体" w:hAnsi="宋体" w:eastAsia="宋体" w:cs="宋体"/>
          <w:color w:val="auto"/>
          <w:sz w:val="24"/>
          <w:szCs w:val="24"/>
          <w:highlight w:val="none"/>
        </w:rPr>
        <w:t>；配合</w:t>
      </w:r>
      <w:r>
        <w:rPr>
          <w:rFonts w:hint="eastAsia" w:ascii="宋体" w:hAnsi="宋体" w:eastAsia="宋体" w:cs="宋体"/>
          <w:color w:val="auto"/>
          <w:sz w:val="24"/>
          <w:szCs w:val="24"/>
          <w:highlight w:val="none"/>
          <w:lang w:eastAsia="zh-CN"/>
        </w:rPr>
        <w:t>项目经理部</w:t>
      </w:r>
      <w:r>
        <w:rPr>
          <w:rFonts w:hint="eastAsia" w:ascii="宋体" w:hAnsi="宋体" w:eastAsia="宋体" w:cs="宋体"/>
          <w:color w:val="auto"/>
          <w:sz w:val="24"/>
          <w:szCs w:val="24"/>
          <w:highlight w:val="none"/>
        </w:rPr>
        <w:t>完成人员的退场手续</w:t>
      </w:r>
      <w:r>
        <w:rPr>
          <w:rFonts w:hint="eastAsia" w:ascii="宋体" w:hAnsi="宋体" w:eastAsia="宋体" w:cs="宋体"/>
          <w:b w:val="0"/>
          <w:bCs w:val="0"/>
          <w:color w:val="auto"/>
          <w:sz w:val="24"/>
          <w:szCs w:val="24"/>
          <w:highlight w:val="none"/>
          <w:lang w:val="en-US" w:eastAsia="zh-CN"/>
        </w:rPr>
        <w:t>。</w:t>
      </w:r>
    </w:p>
    <w:p w14:paraId="40F6F7EB">
      <w:pPr>
        <w:pStyle w:val="3"/>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3、本项目所需所有人员都须持证上岗，规范填写船舶航行日志、轮机日志、驳船作业日志、天气预报等，并按照规定组织好船员的消防和救生演习。</w:t>
      </w:r>
    </w:p>
    <w:p w14:paraId="28E5CC59">
      <w:pPr>
        <w:pStyle w:val="3"/>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应与当地气象台保持联系，按时收听当地气象预报并记录船舶日志。及时掌握暴雨预报，提前将船机设备停靠在安全水域，提前检查防雷。暴雨、雷电来临前或水位达到警戒水位时，立即停止施工作业，并将施工船舶停靠在附近安全水域，船上施工人员穿好救生衣，乘坐交通船撤离至岸上。</w:t>
      </w:r>
    </w:p>
    <w:p w14:paraId="5008E8FB">
      <w:pPr>
        <w:pStyle w:val="3"/>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5、严格执行施工船舶操作规程并组织船员学习操作规程。</w:t>
      </w:r>
    </w:p>
    <w:p w14:paraId="42DD490B">
      <w:pPr>
        <w:pStyle w:val="3"/>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6、服从工程所在地的海事部门及项目部安全管理要求。</w:t>
      </w:r>
    </w:p>
    <w:p w14:paraId="01F6A214">
      <w:pPr>
        <w:pStyle w:val="3"/>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7、大风、大雾等恶劣天气造成无法作业期限禁止作业。</w:t>
      </w:r>
    </w:p>
    <w:p w14:paraId="4C16A85F">
      <w:pPr>
        <w:pStyle w:val="3"/>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8、在作业区域设置夜间安全警示标志。</w:t>
      </w:r>
    </w:p>
    <w:p w14:paraId="66390E54">
      <w:pPr>
        <w:keepNext w:val="0"/>
        <w:keepLines w:val="0"/>
        <w:pageBreakBefore w:val="0"/>
        <w:widowControl w:val="0"/>
        <w:kinsoku/>
        <w:wordWrap/>
        <w:overflowPunct/>
        <w:topLinePunct w:val="0"/>
        <w:autoSpaceDE/>
        <w:autoSpaceDN/>
        <w:bidi w:val="0"/>
        <w:adjustRightInd w:val="0"/>
        <w:snapToGrid/>
        <w:spacing w:line="460" w:lineRule="exact"/>
        <w:ind w:lef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9、投标人必须遵守海洋、海事、海监、边防、交警、城管、环保、市政、规划、建设等政府职能管理部门(包括但不限于以上部门)对施工的相关规定。</w:t>
      </w:r>
    </w:p>
    <w:p w14:paraId="1E26697F">
      <w:pPr>
        <w:keepNext w:val="0"/>
        <w:keepLines w:val="0"/>
        <w:pageBreakBefore w:val="0"/>
        <w:widowControl w:val="0"/>
        <w:kinsoku/>
        <w:wordWrap/>
        <w:overflowPunct/>
        <w:topLinePunct w:val="0"/>
        <w:autoSpaceDE/>
        <w:autoSpaceDN/>
        <w:bidi w:val="0"/>
        <w:adjustRightInd w:val="0"/>
        <w:snapToGrid/>
        <w:spacing w:line="460" w:lineRule="exact"/>
        <w:ind w:leftChars="0" w:firstLine="480" w:firstLineChars="200"/>
        <w:jc w:val="both"/>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10、投标人负责船舶使用的油料等一切材料，并负责日常维护及维修，费用在报价中综合考虑，采购人不另行支付。</w:t>
      </w:r>
    </w:p>
    <w:p w14:paraId="2C7284CE">
      <w:pPr>
        <w:keepNext w:val="0"/>
        <w:keepLines w:val="0"/>
        <w:pageBreakBefore w:val="0"/>
        <w:widowControl w:val="0"/>
        <w:kinsoku/>
        <w:wordWrap/>
        <w:overflowPunct/>
        <w:topLinePunct w:val="0"/>
        <w:autoSpaceDE/>
        <w:autoSpaceDN/>
        <w:bidi w:val="0"/>
        <w:adjustRightInd w:val="0"/>
        <w:snapToGrid/>
        <w:spacing w:line="460" w:lineRule="exact"/>
        <w:ind w:lef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11、疏浚淤泥应运至采购人指定的抛泥水域倾倒。</w:t>
      </w:r>
    </w:p>
    <w:p w14:paraId="63F00A93">
      <w:pPr>
        <w:keepNext w:val="0"/>
        <w:keepLines w:val="0"/>
        <w:pageBreakBefore w:val="0"/>
        <w:widowControl w:val="0"/>
        <w:kinsoku/>
        <w:wordWrap/>
        <w:overflowPunct/>
        <w:topLinePunct w:val="0"/>
        <w:autoSpaceDE/>
        <w:autoSpaceDN/>
        <w:bidi w:val="0"/>
        <w:adjustRightInd w:val="0"/>
        <w:snapToGrid/>
        <w:spacing w:line="460" w:lineRule="exact"/>
        <w:ind w:lef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12、投标人须按有关疏浚工程施工技术规范及采购人的疏浚要求进行施工，做到文明施工、安全施工，确保施工质量。</w:t>
      </w:r>
    </w:p>
    <w:p w14:paraId="149738B3">
      <w:pPr>
        <w:keepNext w:val="0"/>
        <w:keepLines w:val="0"/>
        <w:pageBreakBefore w:val="0"/>
        <w:widowControl w:val="0"/>
        <w:kinsoku/>
        <w:wordWrap/>
        <w:overflowPunct/>
        <w:topLinePunct w:val="0"/>
        <w:autoSpaceDE/>
        <w:autoSpaceDN/>
        <w:bidi w:val="0"/>
        <w:adjustRightInd w:val="0"/>
        <w:snapToGrid/>
        <w:spacing w:line="460" w:lineRule="exact"/>
        <w:ind w:lef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13、疏浚作业和倾倒淤泥等必须符合有关规定和行业规范，自觉接受相关职能部门的检查指导。</w:t>
      </w:r>
    </w:p>
    <w:p w14:paraId="74438BDA">
      <w:pPr>
        <w:keepNext w:val="0"/>
        <w:keepLines w:val="0"/>
        <w:pageBreakBefore w:val="0"/>
        <w:widowControl w:val="0"/>
        <w:kinsoku/>
        <w:wordWrap/>
        <w:overflowPunct/>
        <w:topLinePunct w:val="0"/>
        <w:autoSpaceDE/>
        <w:autoSpaceDN/>
        <w:bidi w:val="0"/>
        <w:adjustRightInd w:val="0"/>
        <w:snapToGrid/>
        <w:spacing w:line="460" w:lineRule="exact"/>
        <w:ind w:lef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14、因不可抗力造成的停工，投标人不可索赔。</w:t>
      </w:r>
    </w:p>
    <w:p w14:paraId="219AE4DA">
      <w:pPr>
        <w:keepNext w:val="0"/>
        <w:keepLines w:val="0"/>
        <w:pageBreakBefore w:val="0"/>
        <w:widowControl w:val="0"/>
        <w:kinsoku/>
        <w:wordWrap/>
        <w:overflowPunct/>
        <w:topLinePunct w:val="0"/>
        <w:autoSpaceDE/>
        <w:autoSpaceDN/>
        <w:bidi w:val="0"/>
        <w:adjustRightInd w:val="0"/>
        <w:snapToGrid/>
        <w:spacing w:line="460" w:lineRule="exact"/>
        <w:ind w:leftChars="0" w:firstLine="480" w:firstLineChars="200"/>
        <w:jc w:val="both"/>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15、水位超汛期线禁止施工。</w:t>
      </w:r>
    </w:p>
    <w:p w14:paraId="04F05AF5">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b w:val="0"/>
          <w:bCs w:val="0"/>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应采取有效措施防范施工现场周边农田、大气、水体、建筑物及其他设施受到干扰、污染和损害。</w:t>
      </w:r>
    </w:p>
    <w:p w14:paraId="4612B3FC">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b w:val="0"/>
          <w:bCs w:val="0"/>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应按有关规定妥善处理因施工作业产生的废水、废气、噪声、淤泥、建筑垃圾等各种影响环境的因素。</w:t>
      </w:r>
    </w:p>
    <w:p w14:paraId="1CF1AB2F">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b w:val="0"/>
          <w:bCs w:val="0"/>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应配合当地生态环境部门大气、水土保持等监测工作，对超标问题及时整改。</w:t>
      </w:r>
    </w:p>
    <w:p w14:paraId="06D90042">
      <w:pPr>
        <w:keepNext w:val="0"/>
        <w:keepLines w:val="0"/>
        <w:pageBreakBefore w:val="0"/>
        <w:widowControl w:val="0"/>
        <w:kinsoku/>
        <w:wordWrap/>
        <w:overflowPunct/>
        <w:topLinePunct w:val="0"/>
        <w:autoSpaceDE/>
        <w:autoSpaceDN/>
        <w:bidi w:val="0"/>
        <w:adjustRightInd w:val="0"/>
        <w:snapToGrid/>
        <w:spacing w:line="46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b w:val="0"/>
          <w:bCs w:val="0"/>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应按采购人的企业文化建设总体要求，规范和统一相关标识。</w:t>
      </w:r>
    </w:p>
    <w:p w14:paraId="0144AF94">
      <w:pPr>
        <w:keepNext w:val="0"/>
        <w:keepLines w:val="0"/>
        <w:pageBreakBefore w:val="0"/>
        <w:widowControl w:val="0"/>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b w:val="0"/>
          <w:bCs w:val="0"/>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不得倒卖红线内的土石方、弃渣等。</w:t>
      </w:r>
    </w:p>
    <w:p w14:paraId="5E519015">
      <w:pPr>
        <w:ind w:firstLine="482" w:firstLineChars="200"/>
        <w:rPr>
          <w:rFonts w:hint="default" w:ascii="宋体" w:hAnsi="宋体" w:eastAsia="宋体" w:cs="宋体"/>
          <w:b/>
          <w:bCs/>
          <w:color w:val="auto"/>
          <w:spacing w:val="2"/>
          <w:kern w:val="0"/>
          <w:highlight w:val="none"/>
          <w:lang w:val="en-US" w:eastAsia="zh-CN"/>
        </w:rPr>
      </w:pPr>
      <w:r>
        <w:rPr>
          <w:rFonts w:hint="eastAsia" w:ascii="宋体" w:hAnsi="宋体" w:eastAsia="宋体" w:cs="宋体"/>
          <w:b/>
          <w:bCs/>
          <w:color w:val="auto"/>
          <w:sz w:val="24"/>
          <w:szCs w:val="24"/>
          <w:highlight w:val="none"/>
          <w:lang w:val="en-US" w:eastAsia="zh-CN"/>
        </w:rPr>
        <w:t>21、投标人投标文件中提供二类船长、轮机长、轮机员、驾驶员、普通船员至少1人的船员适任证书复印件，提供挖机操作手至少1人的特种作业证书复印件。</w:t>
      </w:r>
    </w:p>
    <w:p w14:paraId="64C19B2A">
      <w:r>
        <w:rPr>
          <w:rFonts w:hint="eastAsia" w:ascii="宋体" w:hAnsi="宋体" w:cs="宋体"/>
          <w:b/>
          <w:bCs/>
          <w:color w:val="auto"/>
          <w:spacing w:val="2"/>
          <w:kern w:val="0"/>
          <w:highlight w:val="none"/>
        </w:rPr>
        <w:t>注：以上“技术要求”为实质性条款须完全响应，否则</w:t>
      </w:r>
      <w:r>
        <w:rPr>
          <w:rFonts w:hint="eastAsia" w:ascii="宋体" w:hAnsi="宋体" w:cs="宋体"/>
          <w:b/>
          <w:bCs/>
          <w:color w:val="auto"/>
          <w:spacing w:val="2"/>
          <w:kern w:val="0"/>
          <w:highlight w:val="none"/>
          <w:lang w:eastAsia="zh-CN"/>
        </w:rPr>
        <w:t>投标无效</w:t>
      </w:r>
      <w:r>
        <w:rPr>
          <w:rFonts w:hint="eastAsia" w:ascii="宋体" w:hAnsi="宋体" w:cs="宋体"/>
          <w:b/>
          <w:bCs/>
          <w:color w:val="auto"/>
          <w:spacing w:val="2"/>
          <w:kern w:val="0"/>
          <w:highlight w:val="none"/>
        </w:rPr>
        <w:t>。</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lvlText w:val="%1"/>
      <w:lvlJc w:val="left"/>
      <w:pPr>
        <w:tabs>
          <w:tab w:val="left" w:pos="432"/>
        </w:tabs>
        <w:ind w:left="432" w:hanging="432"/>
      </w:pPr>
      <w:rPr>
        <w:rFonts w:hint="eastAsia"/>
      </w:rPr>
    </w:lvl>
    <w:lvl w:ilvl="1" w:tentative="0">
      <w:start w:val="1"/>
      <w:numFmt w:val="decimal"/>
      <w:pStyle w:val="6"/>
      <w:suff w:val="space"/>
      <w:lvlText w:val="第%2章 "/>
      <w:lvlJc w:val="right"/>
      <w:pPr>
        <w:ind w:left="576" w:hanging="576"/>
      </w:pPr>
      <w:rPr>
        <w:rFonts w:hint="default" w:cs="Times New Roman"/>
        <w:bCs w:val="0"/>
        <w:i w:val="0"/>
        <w:iCs w:val="0"/>
        <w:caps w:val="0"/>
        <w:smallCaps w:val="0"/>
        <w:vanish w:val="0"/>
        <w:spacing w:val="0"/>
        <w:kern w:val="0"/>
        <w:position w:val="0"/>
        <w:sz w:val="28"/>
        <w:u w:val="none"/>
        <w:vertAlign w:val="baseline"/>
      </w:rPr>
    </w:lvl>
    <w:lvl w:ilvl="2" w:tentative="0">
      <w:start w:val="1"/>
      <w:numFmt w:val="decimal"/>
      <w:lvlText w:val="2.%3"/>
      <w:lvlJc w:val="left"/>
      <w:pPr>
        <w:tabs>
          <w:tab w:val="left" w:pos="1080"/>
        </w:tabs>
        <w:ind w:left="1080" w:hanging="720"/>
      </w:pPr>
      <w:rPr>
        <w:rFonts w:hint="eastAsia"/>
      </w:rPr>
    </w:lvl>
    <w:lvl w:ilvl="3" w:tentative="0">
      <w:start w:val="1"/>
      <w:numFmt w:val="decimal"/>
      <w:lvlText w:val="2.%4"/>
      <w:lvlJc w:val="left"/>
      <w:pPr>
        <w:tabs>
          <w:tab w:val="left" w:pos="1330"/>
        </w:tabs>
        <w:ind w:left="1330" w:hanging="864"/>
      </w:pPr>
      <w:rPr>
        <w:rFonts w:hint="eastAsia"/>
      </w:rPr>
    </w:lvl>
    <w:lvl w:ilvl="4" w:tentative="0">
      <w:start w:val="1"/>
      <w:numFmt w:val="decimal"/>
      <w:lvlText w:val="%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B584D"/>
    <w:rsid w:val="6FDB5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pPr>
    <w:rPr>
      <w:rFonts w:ascii="Times New Roman" w:hAnsi="Times New Roman" w:eastAsia="宋体" w:cs="Times New Roman"/>
      <w:kern w:val="2"/>
      <w:sz w:val="24"/>
      <w:szCs w:val="24"/>
      <w:lang w:val="en-US" w:eastAsia="zh-CN" w:bidi="ar-SA"/>
    </w:rPr>
  </w:style>
  <w:style w:type="paragraph" w:styleId="6">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pPr>
    <w:rPr>
      <w:rFonts w:ascii="Plotter" w:hAnsi="Plotter"/>
      <w:szCs w:val="20"/>
    </w:rPr>
  </w:style>
  <w:style w:type="paragraph" w:styleId="3">
    <w:name w:val="Body Text"/>
    <w:basedOn w:val="1"/>
    <w:next w:val="2"/>
    <w:qFormat/>
    <w:uiPriority w:val="0"/>
    <w:pPr>
      <w:spacing w:after="120"/>
    </w:pPr>
    <w:rPr>
      <w:kern w:val="0"/>
      <w:sz w:val="20"/>
    </w:rPr>
  </w:style>
  <w:style w:type="paragraph" w:styleId="4">
    <w:name w:val="Body Text First Indent 2"/>
    <w:basedOn w:val="5"/>
    <w:qFormat/>
    <w:uiPriority w:val="0"/>
    <w:pPr>
      <w:ind w:firstLine="420"/>
    </w:pPr>
  </w:style>
  <w:style w:type="paragraph" w:styleId="5">
    <w:name w:val="Body Text Indent"/>
    <w:basedOn w:val="1"/>
    <w:next w:val="4"/>
    <w:uiPriority w:val="0"/>
    <w:pPr>
      <w:spacing w:after="120"/>
      <w:ind w:left="420" w:leftChars="200"/>
    </w:pPr>
    <w:rPr>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2025-07-21T03:09:00Z</dcterms:created>
  <dc:creator>包泽宁</dc:creator>
  <cp:lastModifiedBy>包泽宁</cp:lastModifiedBy>
  <dcterms:modified xsi:type="dcterms:W3CDTF">2025-07-21T03:09:48Z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49B65762881747FF893F753722064469_11</vt:lpwstr>
  </property>
  <property fmtid="{D5CDD505-2E9C-101B-9397-08002B2CF9AE}" pid="4" name="KSOTemplateDocerSaveRecord">
    <vt:lpwstr>eyJoZGlkIjoiYzZlNTk0ZGE0NTJlNTIyMjhmNWIzMDM4NWQ1MmNkNjgiLCJ1c2VySWQiOiIyODQ3NjAxNjYifQ==</vt:lpwstr>
  </property>
</Properties>
</file>