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rPr>
          <w:rFonts w:ascii="黑体" w:hAnsi="黑体" w:eastAsia="黑体"/>
          <w:b/>
          <w:bCs/>
          <w:sz w:val="24"/>
        </w:rPr>
      </w:pPr>
      <w:r>
        <w:rPr>
          <w:rFonts w:hint="eastAsia" w:ascii="黑体" w:hAnsi="黑体" w:eastAsia="黑体"/>
          <w:b/>
          <w:bCs/>
          <w:sz w:val="24"/>
        </w:rPr>
        <w:t>一、 项目概况</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94"/>
        <w:gridCol w:w="7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101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宋体"/>
                <w:color w:val="000000"/>
                <w:sz w:val="24"/>
                <w:szCs w:val="24"/>
              </w:rPr>
            </w:pPr>
            <w:r>
              <w:rPr>
                <w:rFonts w:hint="eastAsia" w:eastAsia="宋体"/>
                <w:color w:val="000000"/>
                <w:sz w:val="24"/>
                <w:szCs w:val="24"/>
              </w:rPr>
              <w:t>项目名称</w:t>
            </w:r>
          </w:p>
        </w:tc>
        <w:tc>
          <w:tcPr>
            <w:tcW w:w="3989" w:type="pct"/>
            <w:tcBorders>
              <w:top w:val="single" w:color="auto" w:sz="4" w:space="0"/>
              <w:left w:val="single" w:color="auto" w:sz="4" w:space="0"/>
              <w:bottom w:val="single" w:color="auto" w:sz="4" w:space="0"/>
              <w:right w:val="single" w:color="auto" w:sz="4" w:space="0"/>
            </w:tcBorders>
            <w:vAlign w:val="center"/>
          </w:tcPr>
          <w:p>
            <w:pPr>
              <w:spacing w:line="460" w:lineRule="exact"/>
              <w:rPr>
                <w:rFonts w:eastAsia="宋体"/>
                <w:color w:val="000000"/>
                <w:sz w:val="24"/>
                <w:szCs w:val="24"/>
              </w:rPr>
            </w:pPr>
            <w:r>
              <w:rPr>
                <w:rFonts w:hint="eastAsia" w:eastAsia="宋体"/>
                <w:color w:val="000000"/>
                <w:sz w:val="24"/>
                <w:szCs w:val="24"/>
              </w:rPr>
              <w:t>南昌大学智慧工会系统建设项目。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101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宋体"/>
                <w:color w:val="000000"/>
                <w:sz w:val="24"/>
                <w:szCs w:val="24"/>
              </w:rPr>
            </w:pPr>
            <w:r>
              <w:rPr>
                <w:rFonts w:hint="eastAsia" w:eastAsia="宋体"/>
                <w:color w:val="000000"/>
                <w:sz w:val="24"/>
                <w:szCs w:val="24"/>
              </w:rPr>
              <w:t>预算金额</w:t>
            </w:r>
          </w:p>
        </w:tc>
        <w:tc>
          <w:tcPr>
            <w:tcW w:w="3989" w:type="pct"/>
            <w:tcBorders>
              <w:top w:val="single" w:color="auto" w:sz="4" w:space="0"/>
              <w:left w:val="single" w:color="auto" w:sz="4" w:space="0"/>
              <w:bottom w:val="single" w:color="auto" w:sz="4" w:space="0"/>
              <w:right w:val="single" w:color="auto" w:sz="4" w:space="0"/>
            </w:tcBorders>
            <w:vAlign w:val="center"/>
          </w:tcPr>
          <w:p>
            <w:pPr>
              <w:spacing w:line="460" w:lineRule="exact"/>
              <w:rPr>
                <w:rFonts w:eastAsia="宋体"/>
                <w:color w:val="000000"/>
                <w:sz w:val="24"/>
                <w:szCs w:val="24"/>
              </w:rPr>
            </w:pPr>
            <w:r>
              <w:rPr>
                <w:rFonts w:hint="eastAsia" w:eastAsia="宋体"/>
                <w:color w:val="000000"/>
                <w:sz w:val="24"/>
                <w:szCs w:val="24"/>
              </w:rPr>
              <w:t>199000.00元。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101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宋体"/>
                <w:color w:val="000000"/>
                <w:sz w:val="24"/>
                <w:szCs w:val="24"/>
              </w:rPr>
            </w:pPr>
            <w:r>
              <w:rPr>
                <w:rFonts w:hint="eastAsia" w:eastAsia="宋体"/>
                <w:color w:val="000000"/>
                <w:sz w:val="24"/>
                <w:szCs w:val="24"/>
              </w:rPr>
              <w:t>项目概况</w:t>
            </w:r>
          </w:p>
        </w:tc>
        <w:tc>
          <w:tcPr>
            <w:tcW w:w="3989" w:type="pct"/>
            <w:tcBorders>
              <w:top w:val="single" w:color="auto" w:sz="4" w:space="0"/>
              <w:left w:val="single" w:color="auto" w:sz="4" w:space="0"/>
              <w:bottom w:val="single" w:color="auto" w:sz="4" w:space="0"/>
              <w:right w:val="single" w:color="auto" w:sz="4" w:space="0"/>
            </w:tcBorders>
            <w:vAlign w:val="center"/>
          </w:tcPr>
          <w:p>
            <w:pPr>
              <w:spacing w:line="460" w:lineRule="exact"/>
              <w:rPr>
                <w:rFonts w:eastAsia="宋体"/>
                <w:color w:val="000000"/>
                <w:sz w:val="24"/>
                <w:szCs w:val="24"/>
              </w:rPr>
            </w:pPr>
            <w:r>
              <w:rPr>
                <w:rFonts w:hint="eastAsia" w:eastAsia="宋体"/>
                <w:color w:val="000000"/>
                <w:sz w:val="24"/>
                <w:szCs w:val="24"/>
              </w:rPr>
              <w:t>构建功能完备的智能化高校工会办公及数据管理系统。</w:t>
            </w:r>
          </w:p>
        </w:tc>
      </w:tr>
    </w:tbl>
    <w:p>
      <w:pPr>
        <w:snapToGrid w:val="0"/>
        <w:spacing w:line="460" w:lineRule="exact"/>
        <w:rPr>
          <w:rFonts w:ascii="黑体" w:hAnsi="黑体" w:eastAsia="黑体"/>
          <w:b/>
          <w:bCs/>
          <w:sz w:val="24"/>
        </w:rPr>
      </w:pPr>
      <w:r>
        <w:rPr>
          <w:rFonts w:hint="eastAsia" w:ascii="黑体" w:hAnsi="黑体" w:eastAsia="黑体"/>
          <w:b/>
          <w:bCs/>
          <w:sz w:val="24"/>
        </w:rPr>
        <w:t>二、采购标的的功能和质量要求，包括性能、材料、结构、外观、安全，或者服务内容和标准等。</w:t>
      </w:r>
      <w:bookmarkStart w:id="0" w:name="_GoBack"/>
      <w:bookmarkEnd w:id="0"/>
    </w:p>
    <w:p>
      <w:pPr>
        <w:snapToGrid w:val="0"/>
        <w:spacing w:line="460" w:lineRule="exact"/>
        <w:rPr>
          <w:rFonts w:ascii="黑体" w:hAnsi="黑体" w:eastAsia="黑体"/>
          <w:b/>
          <w:bCs/>
          <w:sz w:val="24"/>
        </w:rPr>
      </w:pPr>
      <w:r>
        <w:rPr>
          <w:rFonts w:hint="eastAsia" w:ascii="黑体" w:hAnsi="黑体" w:eastAsia="黑体"/>
          <w:b/>
          <w:bCs/>
          <w:sz w:val="24"/>
        </w:rPr>
        <w:t>（一）采购标的名称和数量</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1"/>
        <w:gridCol w:w="2978"/>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305" w:type="pct"/>
            <w:vAlign w:val="center"/>
          </w:tcPr>
          <w:p>
            <w:pPr>
              <w:keepNext/>
              <w:keepLines/>
              <w:spacing w:line="460" w:lineRule="exact"/>
              <w:jc w:val="center"/>
              <w:rPr>
                <w:rFonts w:eastAsia="宋体"/>
                <w:b/>
                <w:bCs/>
                <w:sz w:val="24"/>
                <w:szCs w:val="24"/>
              </w:rPr>
            </w:pPr>
            <w:r>
              <w:rPr>
                <w:rFonts w:hint="eastAsia" w:eastAsia="宋体"/>
                <w:b/>
                <w:bCs/>
                <w:sz w:val="24"/>
                <w:szCs w:val="24"/>
              </w:rPr>
              <w:t>序号</w:t>
            </w:r>
          </w:p>
        </w:tc>
        <w:tc>
          <w:tcPr>
            <w:tcW w:w="1590" w:type="pct"/>
            <w:vAlign w:val="center"/>
          </w:tcPr>
          <w:p>
            <w:pPr>
              <w:keepNext/>
              <w:keepLines/>
              <w:spacing w:line="460" w:lineRule="exact"/>
              <w:jc w:val="center"/>
              <w:rPr>
                <w:rFonts w:eastAsia="宋体"/>
                <w:b/>
                <w:bCs/>
                <w:sz w:val="24"/>
                <w:szCs w:val="24"/>
              </w:rPr>
            </w:pPr>
            <w:r>
              <w:rPr>
                <w:rFonts w:hint="eastAsia" w:eastAsia="宋体"/>
                <w:b/>
                <w:bCs/>
                <w:sz w:val="24"/>
                <w:szCs w:val="24"/>
              </w:rPr>
              <w:t>服务名称</w:t>
            </w:r>
          </w:p>
        </w:tc>
        <w:tc>
          <w:tcPr>
            <w:tcW w:w="3105" w:type="pct"/>
            <w:vAlign w:val="center"/>
          </w:tcPr>
          <w:p>
            <w:pPr>
              <w:keepNext/>
              <w:keepLines/>
              <w:spacing w:line="460" w:lineRule="exact"/>
              <w:jc w:val="center"/>
              <w:rPr>
                <w:rFonts w:eastAsia="宋体"/>
                <w:b/>
                <w:bCs/>
                <w:sz w:val="24"/>
                <w:szCs w:val="24"/>
              </w:rPr>
            </w:pPr>
            <w:r>
              <w:rPr>
                <w:rFonts w:hint="eastAsia" w:eastAsia="宋体"/>
                <w:b/>
                <w:bCs/>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5" w:type="pct"/>
            <w:vAlign w:val="center"/>
          </w:tcPr>
          <w:p>
            <w:pPr>
              <w:keepNext/>
              <w:keepLines/>
              <w:spacing w:line="460" w:lineRule="exact"/>
              <w:jc w:val="center"/>
              <w:rPr>
                <w:rFonts w:eastAsia="宋体"/>
                <w:sz w:val="24"/>
                <w:szCs w:val="24"/>
              </w:rPr>
            </w:pPr>
            <w:r>
              <w:rPr>
                <w:rFonts w:hint="eastAsia" w:eastAsia="宋体"/>
                <w:sz w:val="24"/>
                <w:szCs w:val="24"/>
              </w:rPr>
              <w:t>1</w:t>
            </w:r>
          </w:p>
        </w:tc>
        <w:tc>
          <w:tcPr>
            <w:tcW w:w="1590" w:type="pct"/>
            <w:vAlign w:val="center"/>
          </w:tcPr>
          <w:p>
            <w:pPr>
              <w:keepNext/>
              <w:keepLines/>
              <w:spacing w:line="460" w:lineRule="exact"/>
              <w:jc w:val="center"/>
              <w:rPr>
                <w:rFonts w:eastAsia="宋体"/>
                <w:sz w:val="24"/>
                <w:szCs w:val="24"/>
              </w:rPr>
            </w:pPr>
            <w:r>
              <w:rPr>
                <w:rFonts w:hint="eastAsia" w:eastAsia="宋体"/>
                <w:sz w:val="24"/>
                <w:szCs w:val="24"/>
              </w:rPr>
              <w:t>智慧工会管理平台建设服务</w:t>
            </w:r>
          </w:p>
        </w:tc>
        <w:tc>
          <w:tcPr>
            <w:tcW w:w="3105" w:type="pct"/>
            <w:vAlign w:val="center"/>
          </w:tcPr>
          <w:p>
            <w:pPr>
              <w:keepNext/>
              <w:keepLines/>
              <w:spacing w:line="460" w:lineRule="exact"/>
              <w:jc w:val="center"/>
              <w:rPr>
                <w:rFonts w:eastAsia="宋体"/>
                <w:sz w:val="24"/>
                <w:szCs w:val="24"/>
              </w:rPr>
            </w:pPr>
            <w:r>
              <w:rPr>
                <w:rFonts w:hint="eastAsia" w:eastAsia="宋体"/>
                <w:sz w:val="24"/>
                <w:szCs w:val="24"/>
              </w:rPr>
              <w:t>从合同签订之日起5年。合同签订后3个月内完成交付，达到试运行标准；合同签订后4个月内完成验收。</w:t>
            </w:r>
          </w:p>
        </w:tc>
      </w:tr>
    </w:tbl>
    <w:p>
      <w:pPr>
        <w:snapToGrid w:val="0"/>
        <w:spacing w:line="460" w:lineRule="exact"/>
        <w:rPr>
          <w:rFonts w:ascii="黑体" w:hAnsi="黑体" w:eastAsia="黑体"/>
          <w:b/>
          <w:bCs/>
          <w:sz w:val="24"/>
        </w:rPr>
      </w:pPr>
      <w:r>
        <w:rPr>
          <w:rFonts w:hint="eastAsia" w:ascii="黑体" w:hAnsi="黑体" w:eastAsia="黑体"/>
          <w:b/>
          <w:bCs/>
          <w:sz w:val="24"/>
        </w:rPr>
        <w:t>（二）采购标的技术要求</w:t>
      </w:r>
    </w:p>
    <w:p>
      <w:pPr>
        <w:snapToGrid w:val="0"/>
        <w:spacing w:line="460" w:lineRule="exact"/>
        <w:rPr>
          <w:rFonts w:ascii="黑体" w:hAnsi="黑体" w:eastAsia="黑体"/>
          <w:b/>
          <w:bCs/>
          <w:color w:val="FF0000"/>
          <w:sz w:val="24"/>
        </w:rPr>
      </w:pPr>
      <w:r>
        <w:rPr>
          <w:rFonts w:hint="eastAsia" w:ascii="黑体" w:hAnsi="黑体" w:eastAsia="黑体"/>
          <w:b/>
          <w:bCs/>
          <w:sz w:val="24"/>
        </w:rPr>
        <w:t>智慧工会管理平台建设项目内容</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6"/>
        <w:gridCol w:w="888"/>
        <w:gridCol w:w="989"/>
        <w:gridCol w:w="605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vAlign w:val="center"/>
          </w:tcPr>
          <w:p>
            <w:pPr>
              <w:keepNext/>
              <w:keepLines/>
              <w:spacing w:line="46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序号</w:t>
            </w:r>
          </w:p>
        </w:tc>
        <w:tc>
          <w:tcPr>
            <w:tcW w:w="474" w:type="pct"/>
            <w:vAlign w:val="center"/>
          </w:tcPr>
          <w:p>
            <w:pPr>
              <w:keepNext/>
              <w:keepLines/>
              <w:spacing w:line="46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重要性</w:t>
            </w:r>
          </w:p>
        </w:tc>
        <w:tc>
          <w:tcPr>
            <w:tcW w:w="528" w:type="pct"/>
            <w:vAlign w:val="center"/>
          </w:tcPr>
          <w:p>
            <w:pPr>
              <w:keepNext/>
              <w:keepLines/>
              <w:spacing w:line="46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指标项</w:t>
            </w:r>
          </w:p>
        </w:tc>
        <w:tc>
          <w:tcPr>
            <w:tcW w:w="3230" w:type="pct"/>
            <w:vAlign w:val="center"/>
          </w:tcPr>
          <w:p>
            <w:pPr>
              <w:keepNext/>
              <w:keepLines/>
              <w:spacing w:line="46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指标要求</w:t>
            </w:r>
          </w:p>
        </w:tc>
        <w:tc>
          <w:tcPr>
            <w:tcW w:w="481" w:type="pct"/>
            <w:vAlign w:val="center"/>
          </w:tcPr>
          <w:p>
            <w:pPr>
              <w:keepNext/>
              <w:keepLines/>
              <w:spacing w:line="46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1</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color w:val="000000"/>
                <w:sz w:val="24"/>
                <w:szCs w:val="24"/>
              </w:rPr>
              <w:t>教职工暨工会会员代表大会</w:t>
            </w:r>
            <w:r>
              <w:rPr>
                <w:rFonts w:hint="eastAsia" w:asciiTheme="majorEastAsia" w:hAnsiTheme="majorEastAsia" w:eastAsiaTheme="majorEastAsia"/>
                <w:sz w:val="24"/>
                <w:szCs w:val="24"/>
              </w:rPr>
              <w:t>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实现教职工暨工会会员代表大会全流程高效管理，包括代表名额分配、代表推荐、代表资格审查、代表团智能组建、两委会委员推选、会议活动组织及电子化归档等功能。系统支持议程管理、资料存储，为换届选举和日常会议提供智能化支持。</w:t>
            </w:r>
          </w:p>
        </w:tc>
        <w:tc>
          <w:tcPr>
            <w:tcW w:w="481" w:type="pct"/>
            <w:vAlign w:val="center"/>
          </w:tcPr>
          <w:p>
            <w:pPr>
              <w:pStyle w:val="8"/>
              <w:keepNext/>
              <w:keepLines/>
              <w:spacing w:line="460" w:lineRule="exact"/>
              <w:jc w:val="center"/>
              <w:rPr>
                <w:rFonts w:asciiTheme="majorEastAsia" w:hAnsiTheme="majorEastAsia" w:eastAsiaTheme="majorEastAsia"/>
              </w:rPr>
            </w:pPr>
            <w:r>
              <w:rPr>
                <w:rFonts w:asciiTheme="majorEastAsia" w:hAnsiTheme="majorEastAsia" w:eastAsiaTheme="majorEastAsia"/>
              </w:rPr>
              <w:t>技术要求响应/偏离表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2</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提案管理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提案征集与办理，涉及到代表、提案工作委员会、相关领导、承办部门四类人员，实现提案撰写、提案附议、提案立项、提案承办、提案人反馈等的全部流程。其中包括系统管理、提案管理、提案委员会管理、提案综合查询管理、支持查询近五年教职工代表大会中已立案的提案。教职工代表大会分组讨论意见与建议收集、整理归类、反馈回复、汇总。</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3</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基层双代会</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可实现二级教职工暨工会会员代表大会的会议召开申请、校工会批复、信息阅览等功能。</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4</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基层工会组织</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支持以树状结构形式，组织、管理工会委员会与各基层工会之间的组织关系。系统实现新增、编辑、删除分工会，设置分工会管理员；支持创建、调整、修改分工会与组成单位之间的对应关系；支持创建、管理工会小组；实现新增、审核基层工会干部等功能。</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5</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会员管理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lang w:val="zh-CN"/>
              </w:rPr>
            </w:pPr>
            <w:r>
              <w:rPr>
                <w:rFonts w:hint="eastAsia" w:asciiTheme="majorEastAsia" w:hAnsiTheme="majorEastAsia" w:eastAsiaTheme="majorEastAsia"/>
                <w:color w:val="000000"/>
                <w:sz w:val="24"/>
                <w:szCs w:val="24"/>
              </w:rPr>
              <w:t>主要实现对会员基本信息和会员会籍、组织关系进行统一管理、维护和监督。包含新教职工入会申请、表格下载及上传、审核，以及由单位变动、退休、离职、博士后入站出站等异动引发的会籍变更；支持学校人员数据自动同步、会员数据库动态更新和异动数据提示；同时提供各类灵活查询、统计分析及各种报表打印等功能。</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6</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权限管理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lang w:val="zh-CN"/>
              </w:rPr>
            </w:pPr>
            <w:r>
              <w:rPr>
                <w:rFonts w:hint="eastAsia" w:asciiTheme="majorEastAsia" w:hAnsiTheme="majorEastAsia" w:eastAsiaTheme="majorEastAsia"/>
                <w:color w:val="000000"/>
                <w:sz w:val="24"/>
                <w:szCs w:val="24"/>
              </w:rPr>
              <w:t>可实现与数据中台对接自动更新组织机构；实现二级、三级管理；支持教职工基本信息维护；实现二级管理分工会主席、党委负责人、主管校领导等信息维护。具备权限管理功能，可以由管理员进行逐级授权；保证授权用户在其权限范围内进行合法操作。支持查看和导出授权日志。</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7</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协会管理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实现协会注册、协会及其理事机构基本信息管理；支持协会纳新申请审核；具有协会年检、费用预算、活动计划、活动实施、创建活动等功能。</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8</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会务管理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系统具有新增、修改、查询、删除会议的功能，支持发布会议通知；具有阅读通知后反馈；支持会议请假和审批以及多种形式签到；实现自动统计应到人数、实到人数、请假人数和占比。</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9</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经费管理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系统根据基层工会或协会人数以及经费标准分配、下拨年度经费；根据专项项目如职工小家建设、思想政治引领活动专项下拨经费，预算额度可随着报销自动扣减，即时更新；各基层工会或协会负责人可查看剩余额度以及费用使用情况；分工会登录系统也可查看到经费结余，实现报销数据按年度、分工会、协会、报销类型等不同维度检索和统计分析。</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10</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评优管理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支持创建评优评先活动；支持活动通知发布；具有会员或分工会线上填报评优活动、校工会审核功能；支持荣誉初始建库、证书上传下载、台账维护、查询统计。</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11</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职工福利</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系统设有福利会员台账，支持福利人员动态更新维护，灵活调整可享受福利的人员范围；支持创建福利套餐；支持福利套餐的发布；支持福利名单的生成、更新和维护；支持福利套餐的多种渠道的选择；支持填写邮寄地址和物流查询；支持福利会员多维度统计，同时导出签字表；留存电商平台接入端口以备后期升级。</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12</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职工疗休养</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支持入围旅行社和线路管理；实现名额分配、分工会报名、校工会审核；参加疗休养名单多维度信息统计及导出；实现根据年度、线路、基地、旅行社等信息进行查询统计。</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13</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省级互助保障</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支持省级互助保障在线申报，具备自动获取申请人会员信息功能，可支持本人申请与代办服务。采用分工会主席初审、党委书记复审、校工会终审的三级联审机制，集成电子签名及附件上传功能，支持自动生成申请汇总表并导出，同时提供全流程数据查询统计与智能分析服务。</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14</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爱心基金</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支持会员入会/退会申请及全流程管理，可自动同步财务/人事系统的会费缴纳名单。设有退休人员与在职人员双操作平台（退休处统一办理退休会员入会及补助申请，分工会负责在职人员相关业务），集成爱心基金补助申报功能，支持电子签名签署与附件上传，并提供多维数据查询统计及分析服务。</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15</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困难帮扶</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支持多种补助类型，如重大疾病、困难家庭、长期病休等；支持基层工会和校工会逐级审核；支持导出申请汇总表；支持查询统计及分析。春节、教师节等节日慰问信息确认。</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16</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职工体检</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支持人员类别自动抓取、信息在线修改、自主选择体检医院，同步增设在线预约体检时段、体检进度实时追踪功能，并对临近截止未检人员发送短信智能提醒，全流程数字化赋能教职工健康管理。</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17</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健身卡使用管理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支持健身卡会员的全周期管理，提供会员使用记录查询、个人年度账户余额核查及年度总支出报表生成功能。</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18</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退休人员纪念品发放管理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自动抓取每月退休人员名单，退休人员领取时在系统上申请，手写签名后领取，当月退休的当月短信通知，当月未领取的及时短信通知领取。</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19</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教育培训</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系统具有名额分配的功能，按基层工会进行名额分配；支持校工会创建干部培训活动以及发布工会沙龙通知；支持基层工会报名、校工会审核；支持人员分组；支持按年度、按培训活动人员汇总和导出。</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20</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一日捐款</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可实现捐款活动的创建和发布功能；支持手机端在线捐款；实现捐款明细查询和导出；具有捐款数据按分工会统计功能。</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21</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在线调查</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系统实现调查问卷或投票活动的创建和编辑，可设置单项和多选；支持调查问卷发布，可设置调整参与活动人员的范围；支持多终端参与问卷调查或投票活动；支持结果查询、统计分析与导出。</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22</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新闻投稿</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支持分工会或协会负责人提交新闻稿件；支持校工会线上审核稿件，支持稿件采纳和退回认定；具有稿件的新建、修改、删除和查看功能；支持按分工会或协会、按稿件类型等多维度统计分析，采纳稿件数据纳入分工会量化考核。</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23</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活动管理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系统实现培训活动、单身交友小程序、各类品牌活动及竞技赛事的创建、修改、发布、注销、撤回等功能；支持多终端查看各类信息并进行在线报名；支持抢票；支持多种签订或打卡方式，如主动扫描二维码、被动扫描、GPS定位等方式；支持按各种维度查询统计；支持管理员根据报名人员缺席次数，设置或解除黑名单；支持按照基层工会、按年度、按培训活动进行统计分析；健步走活动系统支持计步、打卡模式；系统实现GPS和腾讯地图对接，后台可绘制线路和打卡点，可设置运动速度，可设置点位答题，可设置打卡距离范围，可统计每人打卡点数，完成打卡后弹出二维码扫描领奖。</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24</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赛事管理</w:t>
            </w:r>
          </w:p>
        </w:tc>
        <w:tc>
          <w:tcPr>
            <w:tcW w:w="3230" w:type="pct"/>
            <w:shd w:val="clear" w:color="auto" w:fill="auto"/>
            <w:vAlign w:val="center"/>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系统支持协会创建和发布各类体育竞技类比赛，支持团体赛、综合赛事（教职工运动会）、个人赛；支持基层工会或个人报名，支持灵活设置报名规则；系统具有活动信息查询的功能，可查询、统计不同比赛活动、不同分工会的报名情况，并导出报名人员；支持比赛成绩管理，实现统计基层工会在本年度内所有比赛活动的成绩及排名；系统具有设置比赛项目的功能，可灵活设置比赛项目的组别（甲乙丙丁年龄组）、性别、活动类别及项目类型（个人或团体）等；系统具有不同基层工会之间自由组队的功能。</w:t>
            </w:r>
          </w:p>
        </w:tc>
        <w:tc>
          <w:tcPr>
            <w:tcW w:w="481" w:type="pct"/>
            <w:vAlign w:val="center"/>
          </w:tcPr>
          <w:p>
            <w:pPr>
              <w:pStyle w:val="8"/>
              <w:keepNext/>
              <w:keepLines/>
              <w:spacing w:line="460" w:lineRule="exact"/>
              <w:jc w:val="center"/>
              <w:rPr>
                <w:rFonts w:asciiTheme="majorEastAsia" w:hAnsiTheme="majorEastAsia" w:eastAsiaTheme="majorEastAsia"/>
              </w:rPr>
            </w:pPr>
            <w:r>
              <w:rPr>
                <w:rFonts w:asciiTheme="majorEastAsia" w:hAnsiTheme="majorEastAsia" w:eastAsiaTheme="majorEastAsia"/>
              </w:rPr>
              <w:t>技术要求响应/偏离表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25</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系统对接</w:t>
            </w:r>
          </w:p>
        </w:tc>
        <w:tc>
          <w:tcPr>
            <w:tcW w:w="3230" w:type="pct"/>
            <w:shd w:val="clear" w:color="auto" w:fill="auto"/>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功能模块分管理端和用户端两类终端，均需具备手机小程序(微信公众号端链入小程序)、企业微信块端口、及网页端口(门户系统模块)。必须与学校现有平台的对接，如统一身份认证平台；数据中台，涉及人员、组织架构等，作为源头数据向中台提供相关数据；并且与融合门户的消息平台、事务待办、日程中心等对接，提取系统业务和数据接入至融合门户等；如与校园一码通系统、电子签章平台对接等；为其他系统提供必要的接口和数据等。该系统必须和我校统一身份认证进行对接，不能提供单独的登录入口。对应系统实现查询、报名、竞答、上传、下载、填写、审批、及签字功能。</w:t>
            </w:r>
          </w:p>
        </w:tc>
        <w:tc>
          <w:tcPr>
            <w:tcW w:w="481" w:type="pct"/>
            <w:vAlign w:val="center"/>
          </w:tcPr>
          <w:p>
            <w:pPr>
              <w:pStyle w:val="8"/>
              <w:keepNext/>
              <w:keepLines/>
              <w:spacing w:line="460" w:lineRule="exact"/>
              <w:jc w:val="center"/>
              <w:rPr>
                <w:rFonts w:asciiTheme="majorEastAsia" w:hAnsiTheme="majorEastAsia" w:eastAsiaTheme="majorEastAsia"/>
              </w:rPr>
            </w:pPr>
            <w:r>
              <w:rPr>
                <w:rFonts w:asciiTheme="majorEastAsia" w:hAnsiTheme="majorEastAsia" w:eastAsiaTheme="majorEastAsia"/>
              </w:rPr>
              <w:t>技术要求响应/偏离表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26</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性能指标</w:t>
            </w:r>
          </w:p>
        </w:tc>
        <w:tc>
          <w:tcPr>
            <w:tcW w:w="3230" w:type="pct"/>
            <w:shd w:val="clear" w:color="auto" w:fill="auto"/>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1.系统用户数无限制；支持并发在线人数≥300人。</w:t>
            </w:r>
          </w:p>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2.系统应必须快速响应，用户打开界面和提交事务的平均响应时间应低于2秒，用户进行在线实时查询业务操作的数据处理时间应低于5秒。</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27</w:t>
            </w:r>
          </w:p>
        </w:tc>
        <w:tc>
          <w:tcPr>
            <w:tcW w:w="474"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运行环境</w:t>
            </w:r>
          </w:p>
        </w:tc>
        <w:tc>
          <w:tcPr>
            <w:tcW w:w="3230" w:type="pct"/>
            <w:shd w:val="clear" w:color="auto" w:fill="auto"/>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1.系统支持X86结构、ARM架构体系，支持目前主流操作系统如Windows、Linux等，应用部署推荐采用容器化部署方式；数据库支持Oracle、MySQL等。</w:t>
            </w:r>
            <w:r>
              <w:rPr>
                <w:rFonts w:hint="eastAsia" w:asciiTheme="majorEastAsia" w:hAnsiTheme="majorEastAsia" w:eastAsiaTheme="majorEastAsia"/>
                <w:color w:val="000000"/>
                <w:sz w:val="24"/>
                <w:szCs w:val="24"/>
              </w:rPr>
              <w:br w:type="textWrapping"/>
            </w:r>
            <w:r>
              <w:rPr>
                <w:rFonts w:hint="eastAsia" w:asciiTheme="majorEastAsia" w:hAnsiTheme="majorEastAsia" w:eastAsiaTheme="majorEastAsia"/>
                <w:color w:val="000000"/>
                <w:sz w:val="24"/>
                <w:szCs w:val="24"/>
              </w:rPr>
              <w:t>2.中间件服务器采用严格遵循J2EE规范和标准。</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28</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兼容性</w:t>
            </w:r>
          </w:p>
        </w:tc>
        <w:tc>
          <w:tcPr>
            <w:tcW w:w="3230" w:type="pct"/>
            <w:shd w:val="clear" w:color="auto" w:fill="auto"/>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1.系统符合软件操作规范，系统架构合理，面向中间件技术开发。</w:t>
            </w:r>
          </w:p>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2.适配信创要求：结合工会建设需求，充分兼容Windows，macOS，手机微信等端口的操作系统及数据库的适配性，满足后期系统升级需求。服务期内由成交供应商负责系统兼容性维护及适配升级。</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29</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项目管理</w:t>
            </w:r>
          </w:p>
        </w:tc>
        <w:tc>
          <w:tcPr>
            <w:tcW w:w="3230" w:type="pct"/>
            <w:shd w:val="clear" w:color="auto" w:fill="auto"/>
          </w:tcPr>
          <w:p>
            <w:pPr>
              <w:spacing w:line="460" w:lineRule="exact"/>
              <w:rPr>
                <w:rFonts w:asciiTheme="majorEastAsia" w:hAnsiTheme="majorEastAsia" w:eastAsiaTheme="majorEastAsia"/>
                <w:color w:val="000000"/>
                <w:sz w:val="24"/>
                <w:szCs w:val="24"/>
                <w:lang w:val="zh-CN"/>
              </w:rPr>
            </w:pPr>
            <w:r>
              <w:rPr>
                <w:rFonts w:hint="eastAsia" w:asciiTheme="majorEastAsia" w:hAnsiTheme="majorEastAsia" w:eastAsiaTheme="majorEastAsia"/>
                <w:color w:val="000000"/>
                <w:sz w:val="24"/>
                <w:szCs w:val="24"/>
              </w:rPr>
              <w:t>对项目的建设进行科学严格的管理，要通过有计划、有序组织、科学指导和有效控制，促进项目全面顺利实施，供应商必须提供完整的项目管理方案。</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30</w:t>
            </w:r>
          </w:p>
        </w:tc>
        <w:tc>
          <w:tcPr>
            <w:tcW w:w="474"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安全技术要求</w:t>
            </w:r>
          </w:p>
        </w:tc>
        <w:tc>
          <w:tcPr>
            <w:tcW w:w="3230" w:type="pct"/>
            <w:shd w:val="clear" w:color="auto" w:fill="auto"/>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1.系统具备完备的权限分级与审查体系，保证对系统用户操作权限的严格控制，从机制上禁止越权操作。引入角色体系，不同角色管理不同任务，相互之间禁止发生混淆。系统级的管理员可依规定进行权限的定制、发放和收回操作。</w:t>
            </w:r>
          </w:p>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2.系统本身的运行环境，包括底层软件环境，数据库系统等保证安全，并通过足够的监控措施实时监控各类生产组件的运行状态；借助软/硬件防火墙，结合系统安全机制，执行安全配置，禁止默认安装，实现对非授权访问和恶意访问的彻底屏蔽。同时，还要求保证系统内部信息的传输安全。</w:t>
            </w:r>
          </w:p>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3.能支持各种级别的日志，包括数据库、文件等存储介质。系统要提供完善的审计功能及完整的审计日志，以实现操作的追溯，日志保存时间不能少于6个月。系统要有完善的备份与恢复机制。严格遵守学校关于数据安全和网络安全的相关规定及要求。</w:t>
            </w:r>
          </w:p>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4.系统自身具备网页防篡改、防注入式攻击、脚本过滤、防口令猜测、IP地址访问控制等安全措施，防止非授权用户的非法侵入、攻击。防范用户账号密码等敏感数据泄漏，支持SSL/TLS加密传输。系统账号密码（包括服务器账号密码、数据库账号密码、后台管理账号密码等）必须满足安全策略要求，至少由字母、数字、特殊字符等组成且不低于12位。</w:t>
            </w:r>
          </w:p>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5、禁止在HTTP请求中以明文或可逆编码（如Base64、URL编码等）的形式传递SQL语句到后端程序代入执行，禁止由Web前端直接生成和传递SQL语句到数据库进行执行，数据库查询必须采用预编译和参数结构化查询。</w:t>
            </w:r>
          </w:p>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6、控制上传点，对于上传文件类型进行严格控制（禁止用JS进行控制），同时上传目录不能有执行权限，不允许有未经登陆验证的上传点。</w:t>
            </w:r>
          </w:p>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7、设置有效的身份认证、会话管理及访问控制机制，防止越权、平行权限及提权等（禁止利用JS进行控制及验证）。</w:t>
            </w:r>
          </w:p>
          <w:p>
            <w:pPr>
              <w:spacing w:line="460" w:lineRule="exact"/>
              <w:rPr>
                <w:rFonts w:asciiTheme="majorEastAsia" w:hAnsiTheme="majorEastAsia" w:eastAsiaTheme="majorEastAsia"/>
                <w:color w:val="000000"/>
                <w:sz w:val="24"/>
                <w:szCs w:val="24"/>
                <w:lang w:val="zh-CN"/>
              </w:rPr>
            </w:pPr>
            <w:r>
              <w:rPr>
                <w:rFonts w:hint="eastAsia" w:asciiTheme="majorEastAsia" w:hAnsiTheme="majorEastAsia" w:eastAsiaTheme="majorEastAsia"/>
                <w:color w:val="000000"/>
                <w:sz w:val="24"/>
                <w:szCs w:val="24"/>
              </w:rPr>
              <w:t>8、系统安全需符合、达到相应的等级保护测评要求，</w:t>
            </w:r>
            <w:r>
              <w:rPr>
                <w:rFonts w:hint="eastAsia" w:asciiTheme="majorEastAsia" w:hAnsiTheme="majorEastAsia" w:eastAsiaTheme="majorEastAsia"/>
                <w:color w:val="000000"/>
                <w:sz w:val="24"/>
                <w:szCs w:val="24"/>
                <w:lang w:val="zh-CN"/>
              </w:rPr>
              <w:t>成交供应商在开发实施和维保期间如自身存在不符合与学校网络安全等级测评相关要求的内容，成交供应商负责及时免费整改</w:t>
            </w:r>
            <w:r>
              <w:rPr>
                <w:rFonts w:hint="eastAsia" w:asciiTheme="majorEastAsia" w:hAnsiTheme="majorEastAsia" w:eastAsiaTheme="majorEastAsia"/>
                <w:color w:val="000000"/>
                <w:sz w:val="24"/>
                <w:szCs w:val="24"/>
              </w:rPr>
              <w:t>。</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86"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31</w:t>
            </w:r>
          </w:p>
        </w:tc>
        <w:tc>
          <w:tcPr>
            <w:tcW w:w="474" w:type="pct"/>
            <w:shd w:val="clear" w:color="auto" w:fill="auto"/>
            <w:vAlign w:val="center"/>
          </w:tcPr>
          <w:p>
            <w:pPr>
              <w:spacing w:line="460" w:lineRule="exact"/>
              <w:jc w:val="center"/>
              <w:rPr>
                <w:rFonts w:asciiTheme="majorEastAsia" w:hAnsiTheme="majorEastAsia" w:eastAsiaTheme="majorEastAsia"/>
                <w:b/>
                <w:sz w:val="24"/>
                <w:szCs w:val="24"/>
              </w:rPr>
            </w:pPr>
            <w:r>
              <w:rPr>
                <w:rFonts w:hint="eastAsia" w:asciiTheme="majorEastAsia" w:hAnsiTheme="majorEastAsia" w:eastAsiaTheme="majorEastAsia"/>
                <w:sz w:val="24"/>
                <w:szCs w:val="24"/>
              </w:rPr>
              <w:t>★</w:t>
            </w:r>
          </w:p>
        </w:tc>
        <w:tc>
          <w:tcPr>
            <w:tcW w:w="528" w:type="pct"/>
            <w:shd w:val="clear" w:color="auto" w:fill="auto"/>
            <w:vAlign w:val="center"/>
          </w:tcPr>
          <w:p>
            <w:pPr>
              <w:spacing w:line="460" w:lineRule="exact"/>
              <w:jc w:val="center"/>
              <w:rPr>
                <w:rFonts w:asciiTheme="majorEastAsia" w:hAnsiTheme="majorEastAsia" w:eastAsiaTheme="majorEastAsia"/>
                <w:sz w:val="24"/>
                <w:szCs w:val="24"/>
                <w:lang w:val="zh-CN"/>
              </w:rPr>
            </w:pPr>
            <w:r>
              <w:rPr>
                <w:rFonts w:hint="eastAsia" w:asciiTheme="majorEastAsia" w:hAnsiTheme="majorEastAsia" w:eastAsiaTheme="majorEastAsia"/>
                <w:sz w:val="24"/>
                <w:szCs w:val="24"/>
              </w:rPr>
              <w:t>数据标准</w:t>
            </w:r>
          </w:p>
        </w:tc>
        <w:tc>
          <w:tcPr>
            <w:tcW w:w="3230" w:type="pct"/>
            <w:shd w:val="clear" w:color="auto" w:fill="auto"/>
          </w:tcPr>
          <w:p>
            <w:pPr>
              <w:spacing w:line="460" w:lineRule="exac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系统遵循工信部印发《电信和互联网行业数据安全标准体系建设指南》相关标准、学校相关标准，支持Web Service标准服务等多种数据交换技术，同时要求系统提供标准API接口。</w:t>
            </w:r>
            <w:r>
              <w:rPr>
                <w:rFonts w:hint="eastAsia" w:asciiTheme="majorEastAsia" w:hAnsiTheme="majorEastAsia" w:eastAsiaTheme="majorEastAsia"/>
                <w:color w:val="000000"/>
                <w:sz w:val="24"/>
                <w:szCs w:val="24"/>
              </w:rPr>
              <w:br w:type="textWrapping"/>
            </w:r>
            <w:r>
              <w:rPr>
                <w:rFonts w:hint="eastAsia" w:asciiTheme="majorEastAsia" w:hAnsiTheme="majorEastAsia" w:eastAsiaTheme="majorEastAsia"/>
                <w:color w:val="000000"/>
                <w:sz w:val="24"/>
                <w:szCs w:val="24"/>
              </w:rPr>
              <w:t>1.软件运行时所生成数据的所有权及管理权归采购人所有。项目竣工交付时，软件底层数据库的数据访问权限和数据库系统级权限必须提供给学校。</w:t>
            </w:r>
            <w:r>
              <w:rPr>
                <w:rFonts w:hint="eastAsia" w:asciiTheme="majorEastAsia" w:hAnsiTheme="majorEastAsia" w:eastAsiaTheme="majorEastAsia"/>
                <w:color w:val="000000"/>
                <w:sz w:val="24"/>
                <w:szCs w:val="24"/>
              </w:rPr>
              <w:br w:type="textWrapping"/>
            </w:r>
            <w:r>
              <w:rPr>
                <w:rFonts w:hint="eastAsia" w:asciiTheme="majorEastAsia" w:hAnsiTheme="majorEastAsia" w:eastAsiaTheme="majorEastAsia"/>
                <w:color w:val="000000"/>
                <w:sz w:val="24"/>
                <w:szCs w:val="24"/>
              </w:rPr>
              <w:t>2.采购人可永久免费使用该系统产生的数据和相关接口，无附加条件。</w:t>
            </w:r>
            <w:r>
              <w:rPr>
                <w:rFonts w:hint="eastAsia" w:asciiTheme="majorEastAsia" w:hAnsiTheme="majorEastAsia" w:eastAsiaTheme="majorEastAsia"/>
                <w:color w:val="000000"/>
                <w:sz w:val="24"/>
                <w:szCs w:val="24"/>
              </w:rPr>
              <w:br w:type="textWrapping"/>
            </w:r>
            <w:r>
              <w:rPr>
                <w:rFonts w:hint="eastAsia" w:asciiTheme="majorEastAsia" w:hAnsiTheme="majorEastAsia" w:eastAsiaTheme="majorEastAsia"/>
                <w:color w:val="000000"/>
                <w:sz w:val="24"/>
                <w:szCs w:val="24"/>
              </w:rPr>
              <w:t>3.对外接口的字段定义必须符合学校给定的数据标准。由成交供应商负责完成从系统内到对外接口之间的数据映射和逻辑转换并保证其正确性、有效性。当软件发生升级、调整时，必须同步进行映射转换规则的更新。</w:t>
            </w:r>
            <w:r>
              <w:rPr>
                <w:rFonts w:hint="eastAsia" w:asciiTheme="majorEastAsia" w:hAnsiTheme="majorEastAsia" w:eastAsiaTheme="majorEastAsia"/>
                <w:color w:val="000000"/>
                <w:sz w:val="24"/>
                <w:szCs w:val="24"/>
              </w:rPr>
              <w:br w:type="textWrapping"/>
            </w:r>
            <w:r>
              <w:rPr>
                <w:rFonts w:hint="eastAsia" w:asciiTheme="majorEastAsia" w:hAnsiTheme="majorEastAsia" w:eastAsiaTheme="majorEastAsia"/>
                <w:color w:val="000000"/>
                <w:sz w:val="24"/>
                <w:szCs w:val="24"/>
              </w:rPr>
              <w:t>4.软件竣工交付时，必须同时提供完整、正确、规范的数据字典和代码表。当软件发生升级、调整时，必须提供更新的版本。</w:t>
            </w:r>
            <w:r>
              <w:rPr>
                <w:rFonts w:hint="eastAsia" w:asciiTheme="majorEastAsia" w:hAnsiTheme="majorEastAsia" w:eastAsiaTheme="majorEastAsia"/>
                <w:color w:val="000000"/>
                <w:sz w:val="24"/>
                <w:szCs w:val="24"/>
              </w:rPr>
              <w:br w:type="textWrapping"/>
            </w:r>
            <w:r>
              <w:rPr>
                <w:rFonts w:hint="eastAsia" w:asciiTheme="majorEastAsia" w:hAnsiTheme="majorEastAsia" w:eastAsiaTheme="majorEastAsia"/>
                <w:color w:val="000000"/>
                <w:sz w:val="24"/>
                <w:szCs w:val="24"/>
              </w:rPr>
              <w:t>6.该软件需要用到其他系统提供的数据时，数据的交付界面为API接口（优先使用该方式），如确实有技术困难不适合API调用，则使用前置库方式。采购人负责提供符合校级标准的API数据调用接口，或将数据推送到前置库，由成交供应商从前置库中读入数据、映射转换、执行软件内部的业务逻辑等过程。</w:t>
            </w:r>
          </w:p>
        </w:tc>
        <w:tc>
          <w:tcPr>
            <w:tcW w:w="481" w:type="pct"/>
            <w:vAlign w:val="center"/>
          </w:tcPr>
          <w:p>
            <w:pPr>
              <w:pStyle w:val="8"/>
              <w:keepNext/>
              <w:keepLines/>
              <w:spacing w:line="460" w:lineRule="exact"/>
              <w:jc w:val="center"/>
              <w:rPr>
                <w:rFonts w:asciiTheme="majorEastAsia" w:hAnsiTheme="majorEastAsia" w:eastAsiaTheme="majorEastAsia"/>
              </w:rPr>
            </w:pPr>
            <w:r>
              <w:rPr>
                <w:rFonts w:hint="eastAsia" w:asciiTheme="majorEastAsia" w:hAnsiTheme="majorEastAsia" w:eastAsiaTheme="majorEastAsia"/>
              </w:rPr>
              <w:t>技术要求响应</w:t>
            </w:r>
            <w:r>
              <w:rPr>
                <w:rFonts w:asciiTheme="majorEastAsia" w:hAnsiTheme="majorEastAsia" w:eastAsiaTheme="majorEastAsia"/>
              </w:rPr>
              <w:t>/</w:t>
            </w:r>
            <w:r>
              <w:rPr>
                <w:rFonts w:hint="eastAsia" w:asciiTheme="majorEastAsia" w:hAnsiTheme="majorEastAsia" w:eastAsiaTheme="majorEastAsia"/>
              </w:rPr>
              <w:t>偏离表</w:t>
            </w:r>
          </w:p>
        </w:tc>
      </w:tr>
    </w:tbl>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w:t>
      </w:r>
      <w:r>
        <w:rPr>
          <w:rFonts w:hint="eastAsia" w:asciiTheme="minorEastAsia" w:hAnsiTheme="minorEastAsia" w:eastAsiaTheme="minorEastAsia" w:cstheme="minorEastAsia"/>
          <w:b/>
          <w:bCs/>
          <w:spacing w:val="2"/>
          <w:sz w:val="24"/>
          <w:szCs w:val="24"/>
        </w:rPr>
        <w:t>“★”代表实质性指标，不允许负偏离，否则响应无效。</w:t>
      </w:r>
    </w:p>
    <w:p>
      <w:pPr>
        <w:snapToGrid w:val="0"/>
        <w:spacing w:line="460" w:lineRule="exact"/>
        <w:rPr>
          <w:rFonts w:ascii="黑体" w:hAnsi="黑体" w:eastAsia="黑体"/>
          <w:b/>
          <w:bCs/>
          <w:sz w:val="24"/>
        </w:rPr>
      </w:pPr>
      <w:r>
        <w:rPr>
          <w:rFonts w:hint="eastAsia" w:ascii="黑体" w:hAnsi="黑体" w:eastAsia="黑体"/>
          <w:b/>
          <w:bCs/>
          <w:sz w:val="24"/>
        </w:rPr>
        <w:t>（三）采购标的商务要求</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8"/>
        <w:gridCol w:w="762"/>
        <w:gridCol w:w="1257"/>
        <w:gridCol w:w="524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vAlign w:val="center"/>
          </w:tcPr>
          <w:p>
            <w:pPr>
              <w:keepNext/>
              <w:keepLines/>
              <w:widowControl/>
              <w:suppressLineNumbers/>
              <w:suppressAutoHyphens/>
              <w:autoSpaceDE w:val="0"/>
              <w:autoSpaceDN w:val="0"/>
              <w:adjustRightInd w:val="0"/>
              <w:snapToGrid w:val="0"/>
              <w:spacing w:line="460" w:lineRule="exact"/>
              <w:jc w:val="center"/>
              <w:rPr>
                <w:rFonts w:eastAsia="宋体"/>
                <w:b/>
                <w:snapToGrid w:val="0"/>
                <w:kern w:val="2"/>
                <w:sz w:val="24"/>
                <w:szCs w:val="24"/>
                <w:lang w:val="zh-CN"/>
              </w:rPr>
            </w:pPr>
            <w:r>
              <w:rPr>
                <w:rFonts w:hint="eastAsia" w:eastAsia="宋体"/>
                <w:b/>
                <w:snapToGrid w:val="0"/>
                <w:kern w:val="2"/>
                <w:sz w:val="24"/>
                <w:szCs w:val="24"/>
                <w:lang w:val="zh-CN"/>
              </w:rPr>
              <w:t>序号</w:t>
            </w:r>
          </w:p>
        </w:tc>
        <w:tc>
          <w:tcPr>
            <w:tcW w:w="407" w:type="pct"/>
            <w:vAlign w:val="center"/>
          </w:tcPr>
          <w:p>
            <w:pPr>
              <w:keepNext/>
              <w:keepLines/>
              <w:widowControl/>
              <w:suppressLineNumbers/>
              <w:suppressAutoHyphens/>
              <w:autoSpaceDE w:val="0"/>
              <w:autoSpaceDN w:val="0"/>
              <w:adjustRightInd w:val="0"/>
              <w:snapToGrid w:val="0"/>
              <w:spacing w:line="460" w:lineRule="exact"/>
              <w:jc w:val="center"/>
              <w:rPr>
                <w:rFonts w:eastAsia="宋体"/>
                <w:b/>
                <w:snapToGrid w:val="0"/>
                <w:kern w:val="2"/>
                <w:sz w:val="24"/>
                <w:szCs w:val="24"/>
                <w:lang w:val="zh-CN"/>
              </w:rPr>
            </w:pPr>
            <w:r>
              <w:rPr>
                <w:rFonts w:hint="eastAsia" w:eastAsia="宋体"/>
                <w:b/>
                <w:snapToGrid w:val="0"/>
                <w:kern w:val="2"/>
                <w:sz w:val="24"/>
                <w:szCs w:val="24"/>
                <w:lang w:val="zh-CN"/>
              </w:rPr>
              <w:t>重要性</w:t>
            </w:r>
          </w:p>
        </w:tc>
        <w:tc>
          <w:tcPr>
            <w:tcW w:w="671" w:type="pct"/>
            <w:vAlign w:val="center"/>
          </w:tcPr>
          <w:p>
            <w:pPr>
              <w:keepNext/>
              <w:keepLines/>
              <w:widowControl/>
              <w:suppressLineNumbers/>
              <w:suppressAutoHyphens/>
              <w:autoSpaceDE w:val="0"/>
              <w:autoSpaceDN w:val="0"/>
              <w:adjustRightInd w:val="0"/>
              <w:snapToGrid w:val="0"/>
              <w:spacing w:line="460" w:lineRule="exact"/>
              <w:jc w:val="center"/>
              <w:rPr>
                <w:rFonts w:eastAsia="宋体"/>
                <w:b/>
                <w:snapToGrid w:val="0"/>
                <w:kern w:val="2"/>
                <w:sz w:val="24"/>
                <w:szCs w:val="24"/>
                <w:lang w:val="zh-CN"/>
              </w:rPr>
            </w:pPr>
            <w:r>
              <w:rPr>
                <w:rFonts w:hint="eastAsia" w:eastAsia="宋体"/>
                <w:b/>
                <w:snapToGrid w:val="0"/>
                <w:kern w:val="2"/>
                <w:sz w:val="24"/>
                <w:szCs w:val="24"/>
                <w:lang w:val="zh-CN"/>
              </w:rPr>
              <w:t>指标项</w:t>
            </w:r>
          </w:p>
        </w:tc>
        <w:tc>
          <w:tcPr>
            <w:tcW w:w="2801" w:type="pct"/>
            <w:vAlign w:val="center"/>
          </w:tcPr>
          <w:p>
            <w:pPr>
              <w:keepNext/>
              <w:keepLines/>
              <w:widowControl/>
              <w:suppressLineNumbers/>
              <w:suppressAutoHyphens/>
              <w:autoSpaceDE w:val="0"/>
              <w:autoSpaceDN w:val="0"/>
              <w:adjustRightInd w:val="0"/>
              <w:snapToGrid w:val="0"/>
              <w:spacing w:line="460" w:lineRule="exact"/>
              <w:jc w:val="center"/>
              <w:rPr>
                <w:rFonts w:eastAsia="宋体"/>
                <w:b/>
                <w:snapToGrid w:val="0"/>
                <w:kern w:val="2"/>
                <w:sz w:val="24"/>
                <w:szCs w:val="24"/>
                <w:lang w:val="zh-CN"/>
              </w:rPr>
            </w:pPr>
            <w:r>
              <w:rPr>
                <w:rFonts w:hint="eastAsia" w:eastAsia="宋体"/>
                <w:b/>
                <w:snapToGrid w:val="0"/>
                <w:kern w:val="2"/>
                <w:sz w:val="24"/>
                <w:szCs w:val="24"/>
                <w:lang w:val="zh-CN"/>
              </w:rPr>
              <w:t>指标要求</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b/>
                <w:snapToGrid w:val="0"/>
                <w:kern w:val="2"/>
                <w:sz w:val="24"/>
                <w:szCs w:val="24"/>
                <w:lang w:val="zh-CN"/>
              </w:rPr>
            </w:pPr>
            <w:r>
              <w:rPr>
                <w:rFonts w:hint="eastAsia" w:eastAsia="宋体"/>
                <w:b/>
                <w:kern w:val="2"/>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1</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服务期限</w:t>
            </w:r>
          </w:p>
        </w:tc>
        <w:tc>
          <w:tcPr>
            <w:tcW w:w="2801" w:type="pct"/>
            <w:shd w:val="clear" w:color="auto" w:fill="auto"/>
            <w:vAlign w:val="center"/>
          </w:tcPr>
          <w:p>
            <w:pPr>
              <w:spacing w:line="460" w:lineRule="exact"/>
              <w:jc w:val="left"/>
              <w:rPr>
                <w:rFonts w:eastAsia="宋体"/>
                <w:sz w:val="24"/>
                <w:szCs w:val="24"/>
              </w:rPr>
            </w:pPr>
            <w:r>
              <w:rPr>
                <w:rFonts w:hint="eastAsia" w:eastAsia="宋体"/>
                <w:sz w:val="24"/>
                <w:szCs w:val="24"/>
              </w:rPr>
              <w:t>从合同签订之日起5年。合同签订后3个月内完成交付，达到试运行标准；合同签订后4个月内完成验收。</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2</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质保期</w:t>
            </w:r>
          </w:p>
        </w:tc>
        <w:tc>
          <w:tcPr>
            <w:tcW w:w="2801" w:type="pct"/>
            <w:shd w:val="clear" w:color="auto" w:fill="auto"/>
            <w:vAlign w:val="center"/>
          </w:tcPr>
          <w:p>
            <w:pPr>
              <w:spacing w:line="460" w:lineRule="exact"/>
              <w:jc w:val="left"/>
              <w:rPr>
                <w:rFonts w:eastAsia="宋体"/>
                <w:sz w:val="24"/>
                <w:szCs w:val="24"/>
              </w:rPr>
            </w:pPr>
            <w:r>
              <w:rPr>
                <w:rFonts w:hint="eastAsia" w:eastAsia="宋体"/>
                <w:sz w:val="24"/>
                <w:szCs w:val="24"/>
              </w:rPr>
              <w:t>质保期自验收合格之日起5年。</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3</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包装和运输</w:t>
            </w:r>
          </w:p>
        </w:tc>
        <w:tc>
          <w:tcPr>
            <w:tcW w:w="2801" w:type="pct"/>
            <w:shd w:val="clear" w:color="auto" w:fill="auto"/>
            <w:vAlign w:val="center"/>
          </w:tcPr>
          <w:p>
            <w:pPr>
              <w:spacing w:line="460" w:lineRule="exact"/>
              <w:jc w:val="left"/>
              <w:rPr>
                <w:rFonts w:eastAsia="宋体"/>
                <w:sz w:val="24"/>
                <w:szCs w:val="24"/>
              </w:rPr>
            </w:pPr>
            <w:r>
              <w:rPr>
                <w:rFonts w:hint="eastAsia" w:eastAsia="宋体"/>
                <w:sz w:val="24"/>
                <w:szCs w:val="24"/>
              </w:rPr>
              <w:t>软件以物理介质（如光盘、U盘）交付，需明确包装需防潮、防震，避免运输中损坏介质读取功能。如果纯电子版交付，须通过加密的信箱。交付须附带完整的产品说明书、授权证书、安装密钥等纸质文件。</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4</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服务标准/售后服务要求</w:t>
            </w:r>
          </w:p>
        </w:tc>
        <w:tc>
          <w:tcPr>
            <w:tcW w:w="2801" w:type="pct"/>
            <w:shd w:val="clear" w:color="auto" w:fill="auto"/>
            <w:vAlign w:val="center"/>
          </w:tcPr>
          <w:p>
            <w:pPr>
              <w:spacing w:line="460" w:lineRule="exact"/>
              <w:rPr>
                <w:rFonts w:eastAsia="宋体"/>
                <w:color w:val="000000"/>
                <w:sz w:val="24"/>
                <w:szCs w:val="24"/>
              </w:rPr>
            </w:pPr>
            <w:r>
              <w:rPr>
                <w:rFonts w:hint="eastAsia" w:eastAsia="宋体"/>
                <w:color w:val="000000"/>
                <w:sz w:val="24"/>
                <w:szCs w:val="24"/>
              </w:rPr>
              <w:t>1.供应商要有专门的售后服务队伍，能提供7×24（小时）的服务能力。服务方式包括现场服务，远程诊断，电话咨询。系统平台提供方必须提供热线电话，随时接受用户的咨询。</w:t>
            </w:r>
            <w:r>
              <w:rPr>
                <w:rFonts w:hint="eastAsia" w:eastAsia="宋体"/>
                <w:color w:val="000000"/>
                <w:sz w:val="24"/>
                <w:szCs w:val="24"/>
              </w:rPr>
              <w:br w:type="textWrapping"/>
            </w:r>
            <w:r>
              <w:rPr>
                <w:rFonts w:hint="eastAsia" w:eastAsia="宋体"/>
                <w:color w:val="000000"/>
                <w:sz w:val="24"/>
                <w:szCs w:val="24"/>
              </w:rPr>
              <w:t>2.质保期内每年系统安全巡检至少二次；提供7*24小时故障报修，并在1小时内作出电话响应，如遇电话支持无法解决的问题，于12小时内派技术人员赶赴现场进行故障排查，并在24小时内排除故障；维修期间提供备品备件；供应商所供的软件，采购人具有终身使用权。质保期内提供五年系统维护、优化与升级服务（采购人无需支付额外费用）</w:t>
            </w:r>
          </w:p>
          <w:p>
            <w:pPr>
              <w:spacing w:line="460" w:lineRule="exact"/>
              <w:rPr>
                <w:rFonts w:eastAsia="宋体"/>
                <w:color w:val="000000"/>
                <w:sz w:val="24"/>
                <w:szCs w:val="24"/>
              </w:rPr>
            </w:pPr>
            <w:r>
              <w:rPr>
                <w:rFonts w:hint="eastAsia" w:eastAsia="宋体"/>
                <w:color w:val="000000"/>
                <w:sz w:val="24"/>
                <w:szCs w:val="24"/>
              </w:rPr>
              <w:t>，并提供详细的升级报告文档。</w:t>
            </w:r>
            <w:r>
              <w:rPr>
                <w:rFonts w:hint="eastAsia" w:eastAsia="宋体"/>
                <w:color w:val="000000"/>
                <w:sz w:val="24"/>
                <w:szCs w:val="24"/>
              </w:rPr>
              <w:br w:type="textWrapping"/>
            </w:r>
            <w:r>
              <w:rPr>
                <w:rFonts w:hint="eastAsia" w:eastAsia="宋体"/>
                <w:color w:val="000000"/>
                <w:sz w:val="24"/>
                <w:szCs w:val="24"/>
              </w:rPr>
              <w:t>3. 质保期外供应商继续提供服务，差旅费（包括机票、住宿、交通费等）和人工服务费包含在本次报价中，如需新增功能、购买附件，按成本价收取费用。</w:t>
            </w:r>
            <w:r>
              <w:rPr>
                <w:rFonts w:hint="eastAsia" w:eastAsia="宋体"/>
                <w:color w:val="000000"/>
                <w:sz w:val="24"/>
                <w:szCs w:val="24"/>
              </w:rPr>
              <w:br w:type="textWrapping"/>
            </w:r>
            <w:r>
              <w:rPr>
                <w:rFonts w:hint="eastAsia" w:eastAsia="宋体"/>
                <w:color w:val="000000"/>
                <w:sz w:val="24"/>
                <w:szCs w:val="24"/>
              </w:rPr>
              <w:t>4.用户提供培训，培训内容为所采购系统使用操作等直至用户能够掌握基本应用技术。成交供应商须送货上门，安装调试（所需费用均由成交供应商承担）。</w:t>
            </w:r>
          </w:p>
          <w:p>
            <w:pPr>
              <w:spacing w:line="460" w:lineRule="exact"/>
              <w:rPr>
                <w:rFonts w:eastAsia="宋体"/>
                <w:color w:val="000000"/>
                <w:sz w:val="24"/>
                <w:szCs w:val="24"/>
              </w:rPr>
            </w:pPr>
            <w:r>
              <w:rPr>
                <w:rFonts w:hint="eastAsia" w:eastAsia="宋体"/>
                <w:color w:val="000000"/>
                <w:sz w:val="24"/>
                <w:szCs w:val="24"/>
              </w:rPr>
              <w:t>5.供应商须组建专门的项目团队并指定项目经理（项目负责人），</w:t>
            </w:r>
            <w:r>
              <w:rPr>
                <w:rFonts w:hint="eastAsia" w:eastAsia="宋体"/>
                <w:sz w:val="24"/>
                <w:szCs w:val="24"/>
              </w:rPr>
              <w:t>拟派项目团队（不包括项目经理）中，至少有1名项目团队核心技术成员及2名实施开发人员。</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5</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培训要求</w:t>
            </w:r>
          </w:p>
        </w:tc>
        <w:tc>
          <w:tcPr>
            <w:tcW w:w="2801" w:type="pct"/>
            <w:shd w:val="clear" w:color="auto" w:fill="auto"/>
          </w:tcPr>
          <w:p>
            <w:pPr>
              <w:spacing w:line="460" w:lineRule="exact"/>
              <w:rPr>
                <w:rFonts w:eastAsia="宋体"/>
                <w:color w:val="000000"/>
                <w:sz w:val="24"/>
                <w:szCs w:val="24"/>
              </w:rPr>
            </w:pPr>
            <w:r>
              <w:rPr>
                <w:rFonts w:hint="eastAsia" w:eastAsia="宋体"/>
                <w:color w:val="000000"/>
                <w:sz w:val="24"/>
                <w:szCs w:val="24"/>
              </w:rPr>
              <w:t>1.针对本项目的最终用户和系统运行维护用户提供分层次培训。需提供灵活多样的培训方式，包括最终用户的操作培训、对运行维护人员的技术培训等。</w:t>
            </w:r>
          </w:p>
          <w:p>
            <w:pPr>
              <w:spacing w:line="460" w:lineRule="exact"/>
              <w:rPr>
                <w:rFonts w:eastAsia="宋体"/>
                <w:color w:val="000000"/>
                <w:sz w:val="24"/>
                <w:szCs w:val="24"/>
              </w:rPr>
            </w:pPr>
            <w:r>
              <w:rPr>
                <w:rFonts w:hint="eastAsia" w:eastAsia="宋体"/>
                <w:color w:val="000000"/>
                <w:sz w:val="24"/>
                <w:szCs w:val="24"/>
              </w:rPr>
              <w:t>2.制定详细的人员培训方案，培训方案应包括培训目的、培训时间安排、人员层次、人数、次数、培训课程（包括课程介绍）主要内容（列出培训基本内容）培训组织方式等。</w:t>
            </w:r>
          </w:p>
          <w:p>
            <w:pPr>
              <w:spacing w:line="460" w:lineRule="exact"/>
              <w:rPr>
                <w:rFonts w:eastAsia="宋体"/>
                <w:color w:val="000000"/>
                <w:sz w:val="24"/>
                <w:szCs w:val="24"/>
              </w:rPr>
            </w:pPr>
            <w:r>
              <w:rPr>
                <w:rFonts w:hint="eastAsia" w:eastAsia="宋体"/>
                <w:color w:val="000000"/>
                <w:sz w:val="24"/>
                <w:szCs w:val="24"/>
              </w:rPr>
              <w:t>3.对于提供的所有培训，必须保证师资力量，主要培训教员应是系统的主要设计和开发者。</w:t>
            </w:r>
          </w:p>
          <w:p>
            <w:pPr>
              <w:spacing w:line="460" w:lineRule="exact"/>
              <w:rPr>
                <w:rFonts w:eastAsia="宋体"/>
                <w:color w:val="000000"/>
                <w:sz w:val="24"/>
                <w:szCs w:val="24"/>
              </w:rPr>
            </w:pPr>
            <w:r>
              <w:rPr>
                <w:rFonts w:hint="eastAsia" w:eastAsia="宋体"/>
                <w:color w:val="000000"/>
                <w:sz w:val="24"/>
                <w:szCs w:val="24"/>
              </w:rPr>
              <w:t>4.培训的内容及方案应由双方协商制定。供应商前来进行技术培训的人员的费用包括在合同总价中。</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6</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验收标准</w:t>
            </w:r>
          </w:p>
        </w:tc>
        <w:tc>
          <w:tcPr>
            <w:tcW w:w="2801" w:type="pct"/>
            <w:shd w:val="clear" w:color="auto" w:fill="auto"/>
          </w:tcPr>
          <w:p>
            <w:pPr>
              <w:spacing w:line="460" w:lineRule="exact"/>
              <w:rPr>
                <w:rFonts w:eastAsia="宋体"/>
                <w:color w:val="000000"/>
                <w:sz w:val="24"/>
                <w:szCs w:val="24"/>
              </w:rPr>
            </w:pPr>
            <w:r>
              <w:rPr>
                <w:rFonts w:hint="eastAsia" w:eastAsia="宋体"/>
                <w:color w:val="000000"/>
                <w:sz w:val="24"/>
                <w:szCs w:val="24"/>
              </w:rPr>
              <w:t>成交供应商完成项目实施和开发工作后系统进入试运行，试运行期为3个月，试运行期满并无重大技术故障，由双方进行项目验收。项目试运行期满后，成交供应商提出验收申请，采购人对产品进行验收。</w:t>
            </w:r>
          </w:p>
          <w:p>
            <w:pPr>
              <w:spacing w:line="460" w:lineRule="exact"/>
              <w:rPr>
                <w:rFonts w:eastAsia="宋体"/>
                <w:color w:val="000000"/>
                <w:sz w:val="24"/>
                <w:szCs w:val="24"/>
              </w:rPr>
            </w:pPr>
            <w:r>
              <w:rPr>
                <w:rFonts w:hint="eastAsia" w:eastAsia="宋体"/>
                <w:color w:val="000000"/>
                <w:sz w:val="24"/>
                <w:szCs w:val="24"/>
              </w:rPr>
              <w:t>1.实现项目需求规定的各项功能，完成系统集成测试，性能测试符合标准要求；提供成交供应商的响应文件及合同中约定的全部系统和资料，包括：提交实施过程中所产生的全部文档，包括但不限于需求分析说明书、设计说明数据、数据库结构、测试方案、集成方案、实施文档、用户使用和操作手册、系统安装程序等。</w:t>
            </w:r>
          </w:p>
          <w:p>
            <w:pPr>
              <w:spacing w:line="460" w:lineRule="exact"/>
              <w:rPr>
                <w:rFonts w:eastAsia="宋体"/>
                <w:color w:val="000000"/>
                <w:sz w:val="24"/>
                <w:szCs w:val="24"/>
              </w:rPr>
            </w:pPr>
            <w:r>
              <w:rPr>
                <w:rFonts w:hint="eastAsia" w:eastAsia="宋体"/>
                <w:color w:val="000000"/>
                <w:sz w:val="24"/>
                <w:szCs w:val="24"/>
              </w:rPr>
              <w:t>2.安装、调试、测试和试运行时出现的问题均已被解决。</w:t>
            </w:r>
          </w:p>
          <w:p>
            <w:pPr>
              <w:spacing w:line="460" w:lineRule="exact"/>
              <w:rPr>
                <w:rFonts w:eastAsia="宋体"/>
                <w:color w:val="000000"/>
                <w:sz w:val="24"/>
                <w:szCs w:val="24"/>
              </w:rPr>
            </w:pPr>
            <w:r>
              <w:rPr>
                <w:rFonts w:hint="eastAsia" w:eastAsia="宋体"/>
                <w:color w:val="000000"/>
                <w:sz w:val="24"/>
                <w:szCs w:val="24"/>
              </w:rPr>
              <w:t>3.完成相应培训工作。</w:t>
            </w:r>
          </w:p>
          <w:p>
            <w:pPr>
              <w:spacing w:line="460" w:lineRule="exact"/>
              <w:rPr>
                <w:rFonts w:eastAsia="宋体"/>
                <w:color w:val="000000"/>
                <w:sz w:val="24"/>
                <w:szCs w:val="24"/>
              </w:rPr>
            </w:pPr>
            <w:r>
              <w:rPr>
                <w:rFonts w:hint="eastAsia" w:eastAsia="宋体"/>
                <w:color w:val="000000"/>
                <w:sz w:val="24"/>
                <w:szCs w:val="24"/>
              </w:rPr>
              <w:t>4.系统上线试运行期间内，符合用户要求。</w:t>
            </w:r>
          </w:p>
          <w:p>
            <w:pPr>
              <w:spacing w:line="460" w:lineRule="exact"/>
              <w:rPr>
                <w:rFonts w:eastAsia="宋体"/>
                <w:color w:val="000000"/>
                <w:sz w:val="24"/>
                <w:szCs w:val="24"/>
              </w:rPr>
            </w:pPr>
            <w:r>
              <w:rPr>
                <w:rFonts w:hint="eastAsia" w:eastAsia="宋体"/>
                <w:color w:val="000000"/>
                <w:sz w:val="24"/>
                <w:szCs w:val="24"/>
              </w:rPr>
              <w:t>5.最终用户单位、出具的系统可正常运转的说明文件。</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7</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成果移交</w:t>
            </w:r>
          </w:p>
        </w:tc>
        <w:tc>
          <w:tcPr>
            <w:tcW w:w="2801" w:type="pct"/>
            <w:shd w:val="clear" w:color="auto" w:fill="auto"/>
          </w:tcPr>
          <w:p>
            <w:pPr>
              <w:spacing w:line="460" w:lineRule="exact"/>
              <w:rPr>
                <w:rFonts w:eastAsia="宋体"/>
                <w:color w:val="000000"/>
                <w:sz w:val="24"/>
                <w:szCs w:val="24"/>
              </w:rPr>
            </w:pPr>
            <w:r>
              <w:rPr>
                <w:rFonts w:hint="eastAsia" w:eastAsia="宋体"/>
                <w:color w:val="000000"/>
                <w:sz w:val="24"/>
                <w:szCs w:val="24"/>
              </w:rPr>
              <w:t>要交付的成果和文档资料，不限于运行的系统、技术文档、管理文档。</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8</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交货/服务/建设地点</w:t>
            </w:r>
          </w:p>
        </w:tc>
        <w:tc>
          <w:tcPr>
            <w:tcW w:w="2801" w:type="pct"/>
            <w:shd w:val="clear" w:color="auto" w:fill="auto"/>
            <w:vAlign w:val="center"/>
          </w:tcPr>
          <w:p>
            <w:pPr>
              <w:spacing w:line="460" w:lineRule="exact"/>
              <w:rPr>
                <w:rFonts w:eastAsia="宋体"/>
                <w:color w:val="000000"/>
                <w:sz w:val="24"/>
                <w:szCs w:val="24"/>
              </w:rPr>
            </w:pPr>
            <w:r>
              <w:rPr>
                <w:rFonts w:hint="eastAsia" w:eastAsia="宋体"/>
                <w:color w:val="000000"/>
                <w:sz w:val="24"/>
                <w:szCs w:val="24"/>
              </w:rPr>
              <w:t>南昌大学前湖校区办公楼416。</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9</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color w:val="000000"/>
                <w:sz w:val="24"/>
                <w:szCs w:val="24"/>
              </w:rPr>
              <w:t>履约保证金</w:t>
            </w:r>
          </w:p>
        </w:tc>
        <w:tc>
          <w:tcPr>
            <w:tcW w:w="2801" w:type="pct"/>
            <w:shd w:val="clear" w:color="auto" w:fill="auto"/>
          </w:tcPr>
          <w:p>
            <w:pPr>
              <w:spacing w:line="460" w:lineRule="exact"/>
              <w:rPr>
                <w:rFonts w:eastAsia="宋体"/>
                <w:color w:val="000000"/>
                <w:sz w:val="24"/>
                <w:szCs w:val="24"/>
              </w:rPr>
            </w:pPr>
            <w:r>
              <w:rPr>
                <w:rFonts w:hint="eastAsia" w:eastAsia="宋体"/>
                <w:color w:val="000000"/>
                <w:sz w:val="24"/>
                <w:szCs w:val="24"/>
              </w:rPr>
              <w:t>履约保证金金额：合同总价的</w:t>
            </w:r>
            <w:r>
              <w:rPr>
                <w:rFonts w:hint="eastAsia" w:eastAsia="宋体"/>
                <w:color w:val="000000"/>
                <w:sz w:val="24"/>
                <w:szCs w:val="24"/>
                <w:u w:val="single"/>
              </w:rPr>
              <w:t xml:space="preserve"> 10 </w:t>
            </w:r>
            <w:r>
              <w:rPr>
                <w:rFonts w:hint="eastAsia" w:eastAsia="宋体"/>
                <w:color w:val="000000"/>
                <w:sz w:val="24"/>
                <w:szCs w:val="24"/>
              </w:rPr>
              <w:t>%</w:t>
            </w:r>
          </w:p>
          <w:p>
            <w:pPr>
              <w:spacing w:line="460" w:lineRule="exact"/>
              <w:rPr>
                <w:rFonts w:eastAsia="宋体"/>
                <w:color w:val="000000"/>
                <w:sz w:val="24"/>
                <w:szCs w:val="24"/>
              </w:rPr>
            </w:pPr>
            <w:r>
              <w:rPr>
                <w:rFonts w:hint="eastAsia" w:eastAsia="宋体"/>
                <w:color w:val="000000"/>
                <w:sz w:val="24"/>
                <w:szCs w:val="24"/>
              </w:rPr>
              <w:t>合同签订后7天内提交。</w:t>
            </w:r>
          </w:p>
          <w:p>
            <w:pPr>
              <w:spacing w:line="460" w:lineRule="exact"/>
              <w:rPr>
                <w:rFonts w:eastAsia="宋体"/>
                <w:color w:val="000000"/>
                <w:sz w:val="24"/>
                <w:szCs w:val="24"/>
              </w:rPr>
            </w:pPr>
            <w:r>
              <w:rPr>
                <w:rFonts w:hint="eastAsia" w:eastAsia="宋体"/>
                <w:color w:val="000000"/>
                <w:sz w:val="24"/>
                <w:szCs w:val="24"/>
              </w:rPr>
              <w:t>本项目履约保证金应当以支票、汇票、本票或者金融机构、担保机构出具的保函等非现金形式提交。</w:t>
            </w:r>
          </w:p>
          <w:p>
            <w:pPr>
              <w:spacing w:line="460" w:lineRule="exact"/>
              <w:rPr>
                <w:rFonts w:eastAsia="宋体"/>
                <w:color w:val="000000"/>
                <w:sz w:val="24"/>
                <w:szCs w:val="24"/>
              </w:rPr>
            </w:pPr>
            <w:r>
              <w:rPr>
                <w:rFonts w:hint="eastAsia" w:eastAsia="宋体"/>
                <w:color w:val="000000"/>
                <w:sz w:val="24"/>
                <w:szCs w:val="24"/>
              </w:rPr>
              <w:t>履约保证金的退还：采购合同履约结束，经验收合格后，无息退还履约保证金。</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10</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知识产权归属和处理方式</w:t>
            </w:r>
          </w:p>
        </w:tc>
        <w:tc>
          <w:tcPr>
            <w:tcW w:w="2801" w:type="pct"/>
            <w:shd w:val="clear" w:color="auto" w:fill="auto"/>
          </w:tcPr>
          <w:p>
            <w:pPr>
              <w:spacing w:line="460" w:lineRule="exact"/>
              <w:rPr>
                <w:rFonts w:eastAsia="宋体"/>
                <w:color w:val="000000"/>
                <w:sz w:val="24"/>
                <w:szCs w:val="24"/>
              </w:rPr>
            </w:pPr>
            <w:r>
              <w:rPr>
                <w:rFonts w:hint="eastAsia" w:eastAsia="宋体"/>
                <w:color w:val="000000"/>
                <w:sz w:val="24"/>
                <w:szCs w:val="24"/>
              </w:rPr>
              <w:t>定制开发软件部分的所有权和知识产权归采购人所有。成交供应商应在响应文件中承诺并提供采购人所购买的服务或产品，其自主拥有全部源代码及所有文档、著作、研究等方面的知识产权，如一旦出现侵权，由成交供应商负全部责任。</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11</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付款方式</w:t>
            </w:r>
          </w:p>
        </w:tc>
        <w:tc>
          <w:tcPr>
            <w:tcW w:w="2801" w:type="pct"/>
            <w:shd w:val="clear" w:color="auto" w:fill="auto"/>
            <w:vAlign w:val="center"/>
          </w:tcPr>
          <w:p>
            <w:pPr>
              <w:spacing w:line="460" w:lineRule="exact"/>
              <w:rPr>
                <w:rFonts w:eastAsia="宋体"/>
                <w:color w:val="000000"/>
                <w:sz w:val="24"/>
                <w:szCs w:val="24"/>
              </w:rPr>
            </w:pPr>
            <w:r>
              <w:rPr>
                <w:rFonts w:hint="eastAsia" w:eastAsia="宋体"/>
                <w:color w:val="000000"/>
                <w:sz w:val="24"/>
                <w:szCs w:val="24"/>
              </w:rPr>
              <w:t>验收合格，收到发票后10个工作日内付款。</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7" w:type="pct"/>
            <w:shd w:val="clear" w:color="auto" w:fill="auto"/>
            <w:vAlign w:val="center"/>
          </w:tcPr>
          <w:p>
            <w:pPr>
              <w:spacing w:line="460" w:lineRule="exact"/>
              <w:jc w:val="center"/>
              <w:rPr>
                <w:rFonts w:eastAsia="宋体"/>
                <w:sz w:val="24"/>
                <w:szCs w:val="24"/>
              </w:rPr>
            </w:pPr>
            <w:r>
              <w:rPr>
                <w:rFonts w:hint="eastAsia" w:eastAsia="宋体"/>
                <w:sz w:val="24"/>
                <w:szCs w:val="24"/>
              </w:rPr>
              <w:t>12</w:t>
            </w:r>
          </w:p>
        </w:tc>
        <w:tc>
          <w:tcPr>
            <w:tcW w:w="407"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w:t>
            </w:r>
          </w:p>
        </w:tc>
        <w:tc>
          <w:tcPr>
            <w:tcW w:w="671" w:type="pct"/>
            <w:shd w:val="clear" w:color="auto" w:fill="auto"/>
            <w:vAlign w:val="center"/>
          </w:tcPr>
          <w:p>
            <w:pPr>
              <w:spacing w:line="460" w:lineRule="exact"/>
              <w:jc w:val="center"/>
              <w:rPr>
                <w:rFonts w:eastAsia="宋体"/>
                <w:sz w:val="24"/>
                <w:szCs w:val="24"/>
                <w:lang w:val="zh-CN"/>
              </w:rPr>
            </w:pPr>
            <w:r>
              <w:rPr>
                <w:rFonts w:hint="eastAsia" w:eastAsia="宋体"/>
                <w:sz w:val="24"/>
                <w:szCs w:val="24"/>
              </w:rPr>
              <w:t>其他</w:t>
            </w:r>
          </w:p>
        </w:tc>
        <w:tc>
          <w:tcPr>
            <w:tcW w:w="2801" w:type="pct"/>
            <w:shd w:val="clear" w:color="auto" w:fill="auto"/>
          </w:tcPr>
          <w:p>
            <w:pPr>
              <w:spacing w:line="460" w:lineRule="exact"/>
              <w:rPr>
                <w:rFonts w:eastAsia="宋体"/>
                <w:color w:val="000000"/>
                <w:sz w:val="24"/>
                <w:szCs w:val="24"/>
              </w:rPr>
            </w:pPr>
            <w:r>
              <w:rPr>
                <w:rFonts w:hint="eastAsia" w:eastAsia="宋体"/>
                <w:color w:val="000000"/>
                <w:sz w:val="24"/>
                <w:szCs w:val="24"/>
              </w:rPr>
              <w:t>由采购人信息中心提供必要的服务器、网络等设备条件，系统运行需符合采购人信息中心的要求。质保期满后，升级、维保费用按合同总额的10%支付，涵盖安全及系统适配性升级经费。</w:t>
            </w:r>
          </w:p>
        </w:tc>
        <w:tc>
          <w:tcPr>
            <w:tcW w:w="834" w:type="pct"/>
            <w:vAlign w:val="center"/>
          </w:tcPr>
          <w:p>
            <w:pPr>
              <w:keepNext/>
              <w:keepLines/>
              <w:widowControl/>
              <w:suppressLineNumbers/>
              <w:suppressAutoHyphens/>
              <w:autoSpaceDE w:val="0"/>
              <w:autoSpaceDN w:val="0"/>
              <w:adjustRightInd w:val="0"/>
              <w:snapToGrid w:val="0"/>
              <w:spacing w:line="460" w:lineRule="exact"/>
              <w:jc w:val="center"/>
              <w:rPr>
                <w:rFonts w:eastAsia="宋体"/>
                <w:snapToGrid w:val="0"/>
                <w:kern w:val="2"/>
                <w:sz w:val="24"/>
                <w:szCs w:val="24"/>
                <w:lang w:val="zh-CN"/>
              </w:rPr>
            </w:pPr>
            <w:r>
              <w:rPr>
                <w:rFonts w:hint="eastAsia" w:eastAsia="宋体"/>
                <w:snapToGrid w:val="0"/>
                <w:kern w:val="2"/>
                <w:sz w:val="24"/>
                <w:szCs w:val="24"/>
                <w:lang w:val="zh-CN"/>
              </w:rPr>
              <w:t>商务要求响应/偏离表</w:t>
            </w:r>
          </w:p>
        </w:tc>
      </w:tr>
    </w:tbl>
    <w:p>
      <w:pPr>
        <w:spacing w:line="460" w:lineRule="exact"/>
      </w:pPr>
      <w:r>
        <w:rPr>
          <w:rFonts w:hint="eastAsia" w:asciiTheme="minorEastAsia" w:hAnsiTheme="minorEastAsia" w:eastAsiaTheme="minorEastAsia" w:cstheme="minorEastAsia"/>
          <w:b/>
          <w:bCs/>
          <w:spacing w:val="2"/>
          <w:sz w:val="24"/>
          <w:szCs w:val="24"/>
        </w:rPr>
        <w:t>注：“★”代表实质性指标，不允许负偏离，否则响应无效。</w:t>
      </w:r>
    </w:p>
    <w:p>
      <w:pPr>
        <w:spacing w:line="460" w:lineRule="exact"/>
        <w:rPr>
          <w:rFonts w:ascii="黑体" w:hAnsi="黑体" w:eastAsia="黑体"/>
          <w:b/>
          <w:sz w:val="24"/>
          <w:szCs w:val="24"/>
        </w:rPr>
      </w:pPr>
    </w:p>
    <w:sectPr>
      <w:footerReference r:id="rId3" w:type="default"/>
      <w:pgSz w:w="11907" w:h="16840"/>
      <w:pgMar w:top="1418" w:right="1276" w:bottom="1134" w:left="1276"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Noto Sans CJK JP Regular">
    <w:altName w:val="微软雅黑"/>
    <w:panose1 w:val="00000000000000000000"/>
    <w:charset w:val="00"/>
    <w:family w:val="swiss"/>
    <w:pitch w:val="default"/>
    <w:sig w:usb0="00000000" w:usb1="00000000" w:usb2="00000000" w:usb3="00000000" w:csb0="00040001" w:csb1="00000000"/>
  </w:font>
  <w:font w:name="Gulim">
    <w:altName w:val="Malgun Gothic"/>
    <w:panose1 w:val="020B0600000101010101"/>
    <w:charset w:val="81"/>
    <w:family w:val="roman"/>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41</w:t>
                          </w:r>
                          <w:r>
                            <w:rPr>
                              <w:rFonts w:hint="eastAsia" w:eastAsia="宋体"/>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EbRaWvAQAARAMAAA4AAABkcnMvZTJvRG9jLnhtbK1SzW7bMAy+D+g7&#10;CLo3coJiyIwoxYCiQ4FhK9DtARRZjgXoD5QaO3uA7Q122mX3PVeeY5Rsp8V2K3qhSZH++H0kN9eD&#10;NeSgIGrvOF0uKkqUk77Rbs/p1y+3l2tKYhKuEcY7xelRRXq9vXiz6UOtVr7zplFAEMTFug+cdimF&#10;mrEoO2VFXPigHCZbD1YkDGHPGhA9olvDVlX1lvUemgBeqhjx9WZM0m3Bb1sl0+e2jSoRwylyS8VC&#10;sbts2XYj6j2I0Gk50RAvYGGFdtj0DHUjkiCPoP+DslqCj75NC+kt822rpSoaUM2y+kfNQyeCKlpw&#10;ODGcxxRfD1Z+OtwD0Q2nV9U73JUTFrd0+vnj9OvP6fd3sswT6kOssfAh3MMURXSz3KEFm78ohAxl&#10;qsfzVNWQiMTH5Xq1Xlc4fIm5OUAc9vR7gJg+KG9JdjgFXFuZpjh8jGksnUtyN+Oydf5WGzNm8wvL&#10;NEdi2UvDbpjY7nxzRJV4pgjeefhGSY8r59ThTVJi7hxONF/H7MDs7GZHOIk/cjryiuH9Y8L2hVtu&#10;NnaYOOCqirrprPItPI9L1dPxb/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MEbRaWvAQAA&#10;RAMAAA4AAAAAAAAAAQAgAAAAHwEAAGRycy9lMm9Eb2MueG1sUEsFBgAAAAAGAAYAWQEAAEAFAAAA&#10;AA==&#10;">
              <v:fill on="f" focussize="0,0"/>
              <v:stroke on="f"/>
              <v:imagedata o:title=""/>
              <o:lock v:ext="edit" aspectratio="f"/>
              <v:textbox inset="0mm,0mm,0mm,0mm" style="mso-fit-shape-to-text:t;">
                <w:txbxContent>
                  <w:p>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41</w:t>
                    </w:r>
                    <w:r>
                      <w:rPr>
                        <w:rFonts w:hint="eastAsia" w:eastAsia="宋体"/>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M2Q3ZjgzZjI3NmFhYjdhMmY5ODIxNDQ2ODNhZjAifQ=="/>
    <w:docVar w:name="KSO_WPS_MARK_KEY" w:val="b7523cb4-633f-429c-9501-1c383d968b0f"/>
  </w:docVars>
  <w:rsids>
    <w:rsidRoot w:val="00BE6C45"/>
    <w:rsid w:val="000713CB"/>
    <w:rsid w:val="000A5497"/>
    <w:rsid w:val="000B4B23"/>
    <w:rsid w:val="000B63CB"/>
    <w:rsid w:val="00117981"/>
    <w:rsid w:val="0016568C"/>
    <w:rsid w:val="00177D16"/>
    <w:rsid w:val="001A53DC"/>
    <w:rsid w:val="001D1DD0"/>
    <w:rsid w:val="002133CA"/>
    <w:rsid w:val="00227034"/>
    <w:rsid w:val="00263BED"/>
    <w:rsid w:val="00294462"/>
    <w:rsid w:val="00294C69"/>
    <w:rsid w:val="002A6B71"/>
    <w:rsid w:val="002B614C"/>
    <w:rsid w:val="00336DB5"/>
    <w:rsid w:val="00336FA3"/>
    <w:rsid w:val="003651B0"/>
    <w:rsid w:val="0036645C"/>
    <w:rsid w:val="00387C95"/>
    <w:rsid w:val="003A2694"/>
    <w:rsid w:val="003B762C"/>
    <w:rsid w:val="003C0F4D"/>
    <w:rsid w:val="003C5EE2"/>
    <w:rsid w:val="00412EC8"/>
    <w:rsid w:val="00446ABC"/>
    <w:rsid w:val="00480477"/>
    <w:rsid w:val="004C56E4"/>
    <w:rsid w:val="004E493E"/>
    <w:rsid w:val="00542DD6"/>
    <w:rsid w:val="0054481A"/>
    <w:rsid w:val="005963DA"/>
    <w:rsid w:val="005B47AC"/>
    <w:rsid w:val="005D55D9"/>
    <w:rsid w:val="005E7D6B"/>
    <w:rsid w:val="006023CF"/>
    <w:rsid w:val="00621451"/>
    <w:rsid w:val="00643905"/>
    <w:rsid w:val="00654051"/>
    <w:rsid w:val="00687CF8"/>
    <w:rsid w:val="006964D8"/>
    <w:rsid w:val="006B16AF"/>
    <w:rsid w:val="006D0603"/>
    <w:rsid w:val="00713149"/>
    <w:rsid w:val="00734673"/>
    <w:rsid w:val="00757708"/>
    <w:rsid w:val="0076095F"/>
    <w:rsid w:val="0078157B"/>
    <w:rsid w:val="007A193D"/>
    <w:rsid w:val="007B371E"/>
    <w:rsid w:val="007E3F2D"/>
    <w:rsid w:val="007F2A9C"/>
    <w:rsid w:val="0082073C"/>
    <w:rsid w:val="0085234F"/>
    <w:rsid w:val="008A0C6A"/>
    <w:rsid w:val="008B3099"/>
    <w:rsid w:val="008D1255"/>
    <w:rsid w:val="0091777A"/>
    <w:rsid w:val="00931222"/>
    <w:rsid w:val="009735C0"/>
    <w:rsid w:val="00987388"/>
    <w:rsid w:val="009A7A9E"/>
    <w:rsid w:val="009C2C77"/>
    <w:rsid w:val="009D6473"/>
    <w:rsid w:val="009E79C2"/>
    <w:rsid w:val="00A13BB3"/>
    <w:rsid w:val="00A43C3A"/>
    <w:rsid w:val="00AA107F"/>
    <w:rsid w:val="00AC263A"/>
    <w:rsid w:val="00AF670C"/>
    <w:rsid w:val="00B07933"/>
    <w:rsid w:val="00B07D00"/>
    <w:rsid w:val="00B169D2"/>
    <w:rsid w:val="00B27799"/>
    <w:rsid w:val="00B5219C"/>
    <w:rsid w:val="00B55E27"/>
    <w:rsid w:val="00B649C7"/>
    <w:rsid w:val="00B92EB8"/>
    <w:rsid w:val="00BC2B92"/>
    <w:rsid w:val="00BC4C31"/>
    <w:rsid w:val="00BC59C1"/>
    <w:rsid w:val="00BE3871"/>
    <w:rsid w:val="00BE6C45"/>
    <w:rsid w:val="00C06315"/>
    <w:rsid w:val="00C3641F"/>
    <w:rsid w:val="00C64754"/>
    <w:rsid w:val="00C868A9"/>
    <w:rsid w:val="00CC0A0F"/>
    <w:rsid w:val="00CC1E58"/>
    <w:rsid w:val="00D066D4"/>
    <w:rsid w:val="00D40C3F"/>
    <w:rsid w:val="00D622BB"/>
    <w:rsid w:val="00DA26F5"/>
    <w:rsid w:val="00DB5E5F"/>
    <w:rsid w:val="00DE26B8"/>
    <w:rsid w:val="00DF2331"/>
    <w:rsid w:val="00DF678F"/>
    <w:rsid w:val="00E25393"/>
    <w:rsid w:val="00E30FD0"/>
    <w:rsid w:val="00E61174"/>
    <w:rsid w:val="00E70104"/>
    <w:rsid w:val="00E86D7E"/>
    <w:rsid w:val="00F36399"/>
    <w:rsid w:val="00F678FB"/>
    <w:rsid w:val="00FD0E4A"/>
    <w:rsid w:val="01574CF0"/>
    <w:rsid w:val="015850F8"/>
    <w:rsid w:val="02A03C04"/>
    <w:rsid w:val="02F96D5F"/>
    <w:rsid w:val="04572756"/>
    <w:rsid w:val="04610F1C"/>
    <w:rsid w:val="05BC001D"/>
    <w:rsid w:val="06004A23"/>
    <w:rsid w:val="068C740F"/>
    <w:rsid w:val="089B6E4F"/>
    <w:rsid w:val="09253F4C"/>
    <w:rsid w:val="092C2A80"/>
    <w:rsid w:val="09BB5250"/>
    <w:rsid w:val="0A7809B7"/>
    <w:rsid w:val="0ABD3E62"/>
    <w:rsid w:val="0B103680"/>
    <w:rsid w:val="0B140F3B"/>
    <w:rsid w:val="0C3341A3"/>
    <w:rsid w:val="0C347173"/>
    <w:rsid w:val="0DA57FFB"/>
    <w:rsid w:val="0E850184"/>
    <w:rsid w:val="0EB100B1"/>
    <w:rsid w:val="0F1E7653"/>
    <w:rsid w:val="0F4075C9"/>
    <w:rsid w:val="102D2243"/>
    <w:rsid w:val="10ED3781"/>
    <w:rsid w:val="10F85CCF"/>
    <w:rsid w:val="119A56B6"/>
    <w:rsid w:val="12696E37"/>
    <w:rsid w:val="138E124B"/>
    <w:rsid w:val="13C702B9"/>
    <w:rsid w:val="13DC1F3B"/>
    <w:rsid w:val="142F2DDA"/>
    <w:rsid w:val="151E2D31"/>
    <w:rsid w:val="15A44D56"/>
    <w:rsid w:val="15A83D50"/>
    <w:rsid w:val="160F7C98"/>
    <w:rsid w:val="16DD08C1"/>
    <w:rsid w:val="17436903"/>
    <w:rsid w:val="17446985"/>
    <w:rsid w:val="17AB1A68"/>
    <w:rsid w:val="19185D30"/>
    <w:rsid w:val="19BE1BA3"/>
    <w:rsid w:val="1A470B37"/>
    <w:rsid w:val="1AF5432C"/>
    <w:rsid w:val="1B9F38C9"/>
    <w:rsid w:val="1BBD091F"/>
    <w:rsid w:val="1C0302FC"/>
    <w:rsid w:val="1C2E2686"/>
    <w:rsid w:val="1C961170"/>
    <w:rsid w:val="1CC96204"/>
    <w:rsid w:val="1D077978"/>
    <w:rsid w:val="1D8A5166"/>
    <w:rsid w:val="1DD2442A"/>
    <w:rsid w:val="1E01217A"/>
    <w:rsid w:val="1E247EEF"/>
    <w:rsid w:val="1E8F6B64"/>
    <w:rsid w:val="1ED00077"/>
    <w:rsid w:val="1F971487"/>
    <w:rsid w:val="1FB42244"/>
    <w:rsid w:val="202D3B9A"/>
    <w:rsid w:val="20351A07"/>
    <w:rsid w:val="213333E4"/>
    <w:rsid w:val="22105521"/>
    <w:rsid w:val="223F3207"/>
    <w:rsid w:val="2322550C"/>
    <w:rsid w:val="243A2B7F"/>
    <w:rsid w:val="249B79CF"/>
    <w:rsid w:val="24A501A2"/>
    <w:rsid w:val="24EB0421"/>
    <w:rsid w:val="25521A8B"/>
    <w:rsid w:val="25F248B9"/>
    <w:rsid w:val="265E6DF4"/>
    <w:rsid w:val="26B56C8E"/>
    <w:rsid w:val="278A627F"/>
    <w:rsid w:val="281E3268"/>
    <w:rsid w:val="28865590"/>
    <w:rsid w:val="28A215F9"/>
    <w:rsid w:val="291902A7"/>
    <w:rsid w:val="294C3807"/>
    <w:rsid w:val="294E705B"/>
    <w:rsid w:val="29E86789"/>
    <w:rsid w:val="2A1202FC"/>
    <w:rsid w:val="2A1E4BD6"/>
    <w:rsid w:val="2A6E1C28"/>
    <w:rsid w:val="2A957CC6"/>
    <w:rsid w:val="2AC053EA"/>
    <w:rsid w:val="2AF63712"/>
    <w:rsid w:val="2C182795"/>
    <w:rsid w:val="2C1C7741"/>
    <w:rsid w:val="2D7B4196"/>
    <w:rsid w:val="2D986AF6"/>
    <w:rsid w:val="2DBA53C0"/>
    <w:rsid w:val="2DC40B2F"/>
    <w:rsid w:val="2E2F7B0A"/>
    <w:rsid w:val="2E5E56B5"/>
    <w:rsid w:val="2F212B1B"/>
    <w:rsid w:val="2F5D7865"/>
    <w:rsid w:val="2F736E4B"/>
    <w:rsid w:val="2FAB0637"/>
    <w:rsid w:val="2FB57319"/>
    <w:rsid w:val="2FBA469E"/>
    <w:rsid w:val="2FCA050C"/>
    <w:rsid w:val="2FD455E3"/>
    <w:rsid w:val="313D1898"/>
    <w:rsid w:val="31503626"/>
    <w:rsid w:val="31977574"/>
    <w:rsid w:val="321148BD"/>
    <w:rsid w:val="328904C5"/>
    <w:rsid w:val="32AA0E42"/>
    <w:rsid w:val="32BF49D1"/>
    <w:rsid w:val="330C174B"/>
    <w:rsid w:val="331767DB"/>
    <w:rsid w:val="33390827"/>
    <w:rsid w:val="3367769D"/>
    <w:rsid w:val="33834F40"/>
    <w:rsid w:val="33BF5C20"/>
    <w:rsid w:val="343149AB"/>
    <w:rsid w:val="34494281"/>
    <w:rsid w:val="348B76D9"/>
    <w:rsid w:val="34FC7E63"/>
    <w:rsid w:val="35CF507F"/>
    <w:rsid w:val="36B85B13"/>
    <w:rsid w:val="374916C0"/>
    <w:rsid w:val="37680061"/>
    <w:rsid w:val="37EB3CC7"/>
    <w:rsid w:val="38154947"/>
    <w:rsid w:val="38194CD8"/>
    <w:rsid w:val="38AC5B4C"/>
    <w:rsid w:val="395D130E"/>
    <w:rsid w:val="39DC5A32"/>
    <w:rsid w:val="3A7408C2"/>
    <w:rsid w:val="3AB74CB7"/>
    <w:rsid w:val="3ABE5C67"/>
    <w:rsid w:val="3B445E22"/>
    <w:rsid w:val="3B6E70E8"/>
    <w:rsid w:val="3D0221DE"/>
    <w:rsid w:val="3D0947B0"/>
    <w:rsid w:val="3D970F4E"/>
    <w:rsid w:val="3DB161B3"/>
    <w:rsid w:val="3E0A04A7"/>
    <w:rsid w:val="3E170D7D"/>
    <w:rsid w:val="3E3A667C"/>
    <w:rsid w:val="3F4C45C3"/>
    <w:rsid w:val="3FD22A55"/>
    <w:rsid w:val="403329CC"/>
    <w:rsid w:val="40D93256"/>
    <w:rsid w:val="41D72899"/>
    <w:rsid w:val="42573A61"/>
    <w:rsid w:val="42B82D1E"/>
    <w:rsid w:val="4354484A"/>
    <w:rsid w:val="4447204D"/>
    <w:rsid w:val="44E56BA1"/>
    <w:rsid w:val="4541193A"/>
    <w:rsid w:val="45605CF4"/>
    <w:rsid w:val="45AA5418"/>
    <w:rsid w:val="47653703"/>
    <w:rsid w:val="47B547FF"/>
    <w:rsid w:val="48B40105"/>
    <w:rsid w:val="48C44747"/>
    <w:rsid w:val="49501ABD"/>
    <w:rsid w:val="497557FC"/>
    <w:rsid w:val="49765832"/>
    <w:rsid w:val="49EE4A1A"/>
    <w:rsid w:val="4A221E03"/>
    <w:rsid w:val="4B982B57"/>
    <w:rsid w:val="4C057282"/>
    <w:rsid w:val="4C4D3342"/>
    <w:rsid w:val="4E3617BE"/>
    <w:rsid w:val="4E6842F4"/>
    <w:rsid w:val="4E772EF0"/>
    <w:rsid w:val="4F334479"/>
    <w:rsid w:val="4FDE08C1"/>
    <w:rsid w:val="504373AD"/>
    <w:rsid w:val="50472937"/>
    <w:rsid w:val="50F427DE"/>
    <w:rsid w:val="515F1237"/>
    <w:rsid w:val="517843C5"/>
    <w:rsid w:val="51856AE2"/>
    <w:rsid w:val="519A258E"/>
    <w:rsid w:val="53336B93"/>
    <w:rsid w:val="543D46D2"/>
    <w:rsid w:val="54CF07A0"/>
    <w:rsid w:val="54EB2944"/>
    <w:rsid w:val="55287EB0"/>
    <w:rsid w:val="552A2C0B"/>
    <w:rsid w:val="55461E37"/>
    <w:rsid w:val="560649F8"/>
    <w:rsid w:val="57BB14B0"/>
    <w:rsid w:val="590C2C7D"/>
    <w:rsid w:val="594560AB"/>
    <w:rsid w:val="5A6C788A"/>
    <w:rsid w:val="5B7976B8"/>
    <w:rsid w:val="5BED3D73"/>
    <w:rsid w:val="5C315D17"/>
    <w:rsid w:val="5C58097A"/>
    <w:rsid w:val="5C892C79"/>
    <w:rsid w:val="5CB35DAD"/>
    <w:rsid w:val="5CF8460C"/>
    <w:rsid w:val="5FB33D40"/>
    <w:rsid w:val="618E4FC5"/>
    <w:rsid w:val="61B21A25"/>
    <w:rsid w:val="62031A89"/>
    <w:rsid w:val="63931612"/>
    <w:rsid w:val="63C56CC7"/>
    <w:rsid w:val="63F7264C"/>
    <w:rsid w:val="64865B6A"/>
    <w:rsid w:val="65A51C68"/>
    <w:rsid w:val="65E072AB"/>
    <w:rsid w:val="660648EA"/>
    <w:rsid w:val="664A6F5F"/>
    <w:rsid w:val="66656094"/>
    <w:rsid w:val="66B650CD"/>
    <w:rsid w:val="671B5AC7"/>
    <w:rsid w:val="683C7AA3"/>
    <w:rsid w:val="69F97B76"/>
    <w:rsid w:val="6AD603C5"/>
    <w:rsid w:val="6C5910F6"/>
    <w:rsid w:val="6D11019B"/>
    <w:rsid w:val="6D4D2752"/>
    <w:rsid w:val="6D6118B9"/>
    <w:rsid w:val="6DAB7B52"/>
    <w:rsid w:val="6E555E6B"/>
    <w:rsid w:val="6ED22B9A"/>
    <w:rsid w:val="6F5D242F"/>
    <w:rsid w:val="6F6B5CB7"/>
    <w:rsid w:val="702267F1"/>
    <w:rsid w:val="70456A8A"/>
    <w:rsid w:val="70E05210"/>
    <w:rsid w:val="71062415"/>
    <w:rsid w:val="71375815"/>
    <w:rsid w:val="71CB4321"/>
    <w:rsid w:val="71D4795E"/>
    <w:rsid w:val="7225125A"/>
    <w:rsid w:val="7262577B"/>
    <w:rsid w:val="72B01E04"/>
    <w:rsid w:val="72C872B7"/>
    <w:rsid w:val="73441F7F"/>
    <w:rsid w:val="73D80A2F"/>
    <w:rsid w:val="74617F4F"/>
    <w:rsid w:val="74DF6586"/>
    <w:rsid w:val="756923CF"/>
    <w:rsid w:val="757840E4"/>
    <w:rsid w:val="75D958E1"/>
    <w:rsid w:val="76197675"/>
    <w:rsid w:val="763F7CE9"/>
    <w:rsid w:val="767174B1"/>
    <w:rsid w:val="76D34E0F"/>
    <w:rsid w:val="770976EA"/>
    <w:rsid w:val="77282C5F"/>
    <w:rsid w:val="77512E53"/>
    <w:rsid w:val="77AE08A2"/>
    <w:rsid w:val="77D01FB6"/>
    <w:rsid w:val="77D30CD7"/>
    <w:rsid w:val="78AE533E"/>
    <w:rsid w:val="790C35A0"/>
    <w:rsid w:val="79492E4B"/>
    <w:rsid w:val="7A0B33E2"/>
    <w:rsid w:val="7ACA6404"/>
    <w:rsid w:val="7ACC7FF3"/>
    <w:rsid w:val="7AE46D16"/>
    <w:rsid w:val="7AFF1060"/>
    <w:rsid w:val="7BC010AE"/>
    <w:rsid w:val="7C4F3DFD"/>
    <w:rsid w:val="7C99578E"/>
    <w:rsid w:val="7CA42FD6"/>
    <w:rsid w:val="7CBA3DBF"/>
    <w:rsid w:val="7D0A0BA4"/>
    <w:rsid w:val="7D2720B7"/>
    <w:rsid w:val="7F0A3FA2"/>
    <w:rsid w:val="7F13661D"/>
    <w:rsid w:val="7F193196"/>
    <w:rsid w:val="7F27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Malgun Gothic" w:cs="宋体"/>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qFormat/>
    <w:uiPriority w:val="9"/>
    <w:pPr>
      <w:keepNext/>
      <w:keepLines/>
      <w:spacing w:before="260" w:after="260" w:line="416" w:lineRule="auto"/>
      <w:jc w:val="left"/>
      <w:outlineLvl w:val="2"/>
    </w:pPr>
    <w:rPr>
      <w:b/>
      <w:bCs/>
      <w:sz w:val="26"/>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annotation text"/>
    <w:basedOn w:val="1"/>
    <w:link w:val="48"/>
    <w:qFormat/>
    <w:uiPriority w:val="99"/>
    <w:pPr>
      <w:jc w:val="left"/>
    </w:pPr>
    <w:rPr>
      <w:rFonts w:eastAsia="宋体"/>
      <w:sz w:val="24"/>
      <w:szCs w:val="24"/>
    </w:rPr>
  </w:style>
  <w:style w:type="paragraph" w:styleId="9">
    <w:name w:val="Body Text"/>
    <w:basedOn w:val="1"/>
    <w:next w:val="10"/>
    <w:qFormat/>
    <w:uiPriority w:val="99"/>
    <w:pPr>
      <w:spacing w:after="120"/>
    </w:pPr>
    <w:rPr>
      <w:rFonts w:ascii="Calibri" w:hAnsi="Calibri"/>
      <w:kern w:val="2"/>
      <w:sz w:val="21"/>
      <w:szCs w:val="21"/>
    </w:rPr>
  </w:style>
  <w:style w:type="paragraph" w:styleId="10">
    <w:name w:val="Body Text First Indent"/>
    <w:basedOn w:val="9"/>
    <w:qFormat/>
    <w:uiPriority w:val="0"/>
    <w:pPr>
      <w:ind w:firstLine="420" w:firstLineChars="100"/>
    </w:pPr>
  </w:style>
  <w:style w:type="paragraph" w:styleId="11">
    <w:name w:val="Body Text Indent"/>
    <w:basedOn w:val="1"/>
    <w:link w:val="42"/>
    <w:qFormat/>
    <w:uiPriority w:val="0"/>
    <w:pPr>
      <w:spacing w:after="120"/>
      <w:ind w:left="420" w:leftChars="200"/>
    </w:pPr>
  </w:style>
  <w:style w:type="paragraph" w:styleId="12">
    <w:name w:val="Block Text"/>
    <w:basedOn w:val="1"/>
    <w:qFormat/>
    <w:uiPriority w:val="99"/>
    <w:pPr>
      <w:ind w:left="1171" w:right="91" w:hanging="1080"/>
    </w:pPr>
    <w:rPr>
      <w:rFonts w:eastAsia="楷体_GB2312"/>
    </w:rPr>
  </w:style>
  <w:style w:type="paragraph" w:styleId="13">
    <w:name w:val="Plain Text"/>
    <w:basedOn w:val="1"/>
    <w:qFormat/>
    <w:uiPriority w:val="99"/>
    <w:pPr>
      <w:spacing w:beforeLines="50" w:afterLines="50" w:line="400" w:lineRule="exact"/>
    </w:pPr>
    <w:rPr>
      <w:rFonts w:hAnsi="Courier New"/>
    </w:rPr>
  </w:style>
  <w:style w:type="paragraph" w:styleId="14">
    <w:name w:val="Body Text Indent 2"/>
    <w:basedOn w:val="1"/>
    <w:link w:val="43"/>
    <w:qFormat/>
    <w:uiPriority w:val="0"/>
    <w:pPr>
      <w:spacing w:after="120" w:line="480" w:lineRule="auto"/>
      <w:ind w:left="420" w:leftChars="200"/>
    </w:pPr>
  </w:style>
  <w:style w:type="paragraph" w:styleId="15">
    <w:name w:val="Balloon Text"/>
    <w:basedOn w:val="1"/>
    <w:link w:val="45"/>
    <w:qFormat/>
    <w:uiPriority w:val="0"/>
    <w:rPr>
      <w:sz w:val="18"/>
      <w:szCs w:val="18"/>
    </w:rPr>
  </w:style>
  <w:style w:type="paragraph" w:styleId="16">
    <w:name w:val="footer"/>
    <w:basedOn w:val="1"/>
    <w:link w:val="46"/>
    <w:qFormat/>
    <w:uiPriority w:val="99"/>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8">
    <w:name w:val="toc 1"/>
    <w:basedOn w:val="1"/>
    <w:next w:val="1"/>
    <w:qFormat/>
    <w:uiPriority w:val="39"/>
    <w:pPr>
      <w:tabs>
        <w:tab w:val="right" w:leader="dot" w:pos="9372"/>
      </w:tabs>
      <w:spacing w:before="120" w:after="120"/>
      <w:ind w:left="567" w:hanging="569"/>
      <w:jc w:val="left"/>
    </w:pPr>
    <w:rPr>
      <w:rFonts w:eastAsia="宋体" w:cs="Times New Roman"/>
      <w:b/>
      <w:bCs/>
      <w:caps/>
      <w:kern w:val="2"/>
      <w:sz w:val="24"/>
      <w:szCs w:val="24"/>
    </w:rPr>
  </w:style>
  <w:style w:type="paragraph" w:styleId="19">
    <w:name w:val="Subtitle"/>
    <w:basedOn w:val="1"/>
    <w:next w:val="1"/>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20">
    <w:name w:val="Normal (Web)"/>
    <w:basedOn w:val="1"/>
    <w:qFormat/>
    <w:uiPriority w:val="0"/>
    <w:rPr>
      <w:sz w:val="24"/>
    </w:rPr>
  </w:style>
  <w:style w:type="paragraph" w:styleId="21">
    <w:name w:val="Title"/>
    <w:basedOn w:val="1"/>
    <w:next w:val="1"/>
    <w:link w:val="32"/>
    <w:qFormat/>
    <w:uiPriority w:val="10"/>
    <w:pPr>
      <w:spacing w:before="240" w:after="60"/>
      <w:jc w:val="center"/>
      <w:outlineLvl w:val="0"/>
    </w:pPr>
    <w:rPr>
      <w:rFonts w:ascii="等线 Light" w:hAnsi="等线 Light" w:eastAsia="宋体" w:cs="Times New Roman"/>
      <w:b/>
      <w:bCs/>
      <w:sz w:val="32"/>
      <w:szCs w:val="32"/>
    </w:rPr>
  </w:style>
  <w:style w:type="paragraph" w:styleId="22">
    <w:name w:val="annotation subject"/>
    <w:basedOn w:val="8"/>
    <w:next w:val="8"/>
    <w:link w:val="49"/>
    <w:qFormat/>
    <w:uiPriority w:val="0"/>
    <w:rPr>
      <w:b/>
      <w:bCs/>
    </w:rPr>
  </w:style>
  <w:style w:type="table" w:styleId="24">
    <w:name w:val="Table Grid"/>
    <w:basedOn w:val="23"/>
    <w:qFormat/>
    <w:uiPriority w:val="3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Emphasis"/>
    <w:basedOn w:val="25"/>
    <w:qFormat/>
    <w:uiPriority w:val="0"/>
    <w:rPr>
      <w:i/>
    </w:rPr>
  </w:style>
  <w:style w:type="character" w:styleId="28">
    <w:name w:val="Hyperlink"/>
    <w:basedOn w:val="25"/>
    <w:qFormat/>
    <w:uiPriority w:val="99"/>
    <w:rPr>
      <w:color w:val="666633"/>
      <w:u w:val="single"/>
    </w:rPr>
  </w:style>
  <w:style w:type="character" w:styleId="29">
    <w:name w:val="annotation reference"/>
    <w:basedOn w:val="25"/>
    <w:qFormat/>
    <w:uiPriority w:val="99"/>
    <w:rPr>
      <w:sz w:val="21"/>
      <w:szCs w:val="21"/>
    </w:rPr>
  </w:style>
  <w:style w:type="paragraph" w:customStyle="1" w:styleId="30">
    <w:name w:val="NormalIndent"/>
    <w:basedOn w:val="1"/>
    <w:qFormat/>
    <w:uiPriority w:val="0"/>
    <w:pPr>
      <w:widowControl/>
      <w:spacing w:line="312" w:lineRule="atLeast"/>
      <w:ind w:firstLine="420"/>
      <w:textAlignment w:val="baseline"/>
    </w:pPr>
  </w:style>
  <w:style w:type="paragraph" w:customStyle="1" w:styleId="31">
    <w:name w:val="标题 41"/>
    <w:basedOn w:val="1"/>
    <w:qFormat/>
    <w:uiPriority w:val="1"/>
    <w:pPr>
      <w:autoSpaceDE w:val="0"/>
      <w:autoSpaceDN w:val="0"/>
      <w:adjustRightInd w:val="0"/>
      <w:ind w:left="118"/>
      <w:jc w:val="left"/>
      <w:outlineLvl w:val="3"/>
    </w:pPr>
    <w:rPr>
      <w:rFonts w:ascii="黑体" w:hAnsi="Times New Roman" w:eastAsia="黑体" w:cs="黑体"/>
      <w:b/>
      <w:bCs/>
      <w:sz w:val="28"/>
      <w:szCs w:val="28"/>
    </w:rPr>
  </w:style>
  <w:style w:type="character" w:customStyle="1" w:styleId="32">
    <w:name w:val="标题 Char"/>
    <w:link w:val="21"/>
    <w:qFormat/>
    <w:uiPriority w:val="10"/>
    <w:rPr>
      <w:rFonts w:ascii="等线 Light" w:hAnsi="等线 Light" w:eastAsia="宋体" w:cs="Times New Roman"/>
      <w:b/>
      <w:bCs/>
      <w:sz w:val="32"/>
      <w:szCs w:val="32"/>
    </w:rPr>
  </w:style>
  <w:style w:type="character" w:customStyle="1" w:styleId="33">
    <w:name w:val="font21"/>
    <w:basedOn w:val="25"/>
    <w:qFormat/>
    <w:uiPriority w:val="0"/>
    <w:rPr>
      <w:rFonts w:hint="eastAsia" w:ascii="Malgun Gothic" w:hAnsi="Malgun Gothic" w:eastAsia="Malgun Gothic" w:cs="Malgun Gothic"/>
      <w:b/>
      <w:color w:val="000000"/>
      <w:sz w:val="20"/>
      <w:szCs w:val="20"/>
      <w:u w:val="none"/>
    </w:rPr>
  </w:style>
  <w:style w:type="character" w:customStyle="1" w:styleId="34">
    <w:name w:val="font01"/>
    <w:basedOn w:val="25"/>
    <w:qFormat/>
    <w:uiPriority w:val="0"/>
    <w:rPr>
      <w:rFonts w:hint="eastAsia" w:ascii="宋体" w:hAnsi="宋体" w:eastAsia="宋体" w:cs="宋体"/>
      <w:b/>
      <w:color w:val="000000"/>
      <w:sz w:val="20"/>
      <w:szCs w:val="20"/>
      <w:u w:val="none"/>
    </w:rPr>
  </w:style>
  <w:style w:type="character" w:customStyle="1" w:styleId="35">
    <w:name w:val="font41"/>
    <w:basedOn w:val="25"/>
    <w:qFormat/>
    <w:uiPriority w:val="0"/>
    <w:rPr>
      <w:rFonts w:hint="eastAsia" w:ascii="宋体" w:hAnsi="宋体" w:eastAsia="宋体" w:cs="宋体"/>
      <w:color w:val="000000"/>
      <w:sz w:val="20"/>
      <w:szCs w:val="20"/>
      <w:u w:val="none"/>
    </w:rPr>
  </w:style>
  <w:style w:type="character" w:customStyle="1" w:styleId="36">
    <w:name w:val="font51"/>
    <w:basedOn w:val="25"/>
    <w:qFormat/>
    <w:uiPriority w:val="0"/>
    <w:rPr>
      <w:rFonts w:hint="eastAsia" w:ascii="宋体" w:hAnsi="宋体" w:eastAsia="宋体" w:cs="宋体"/>
      <w:b/>
      <w:color w:val="000000"/>
      <w:sz w:val="20"/>
      <w:szCs w:val="20"/>
      <w:u w:val="none"/>
    </w:rPr>
  </w:style>
  <w:style w:type="character" w:customStyle="1" w:styleId="37">
    <w:name w:val="font11"/>
    <w:basedOn w:val="25"/>
    <w:qFormat/>
    <w:uiPriority w:val="0"/>
    <w:rPr>
      <w:rFonts w:hint="eastAsia" w:ascii="Malgun Gothic" w:hAnsi="Malgun Gothic" w:eastAsia="Malgun Gothic" w:cs="Malgun Gothic"/>
      <w:color w:val="000000"/>
      <w:sz w:val="20"/>
      <w:szCs w:val="20"/>
      <w:u w:val="none"/>
    </w:rPr>
  </w:style>
  <w:style w:type="character" w:customStyle="1" w:styleId="38">
    <w:name w:val="font31"/>
    <w:basedOn w:val="25"/>
    <w:qFormat/>
    <w:uiPriority w:val="0"/>
    <w:rPr>
      <w:rFonts w:hint="eastAsia" w:ascii="宋体" w:hAnsi="宋体" w:eastAsia="宋体" w:cs="宋体"/>
      <w:b/>
      <w:color w:val="000000"/>
      <w:sz w:val="20"/>
      <w:szCs w:val="20"/>
      <w:u w:val="none"/>
    </w:rPr>
  </w:style>
  <w:style w:type="character" w:customStyle="1" w:styleId="39">
    <w:name w:val="标题 2 Char"/>
    <w:link w:val="3"/>
    <w:qFormat/>
    <w:uiPriority w:val="0"/>
    <w:rPr>
      <w:rFonts w:ascii="Cambria" w:hAnsi="Cambria" w:cs="Times New Roman"/>
      <w:b/>
      <w:bCs/>
      <w:kern w:val="0"/>
      <w:sz w:val="32"/>
      <w:szCs w:val="32"/>
    </w:rPr>
  </w:style>
  <w:style w:type="paragraph" w:styleId="40">
    <w:name w:val="List Paragraph"/>
    <w:basedOn w:val="1"/>
    <w:qFormat/>
    <w:uiPriority w:val="34"/>
    <w:pPr>
      <w:ind w:firstLine="420" w:firstLineChars="200"/>
    </w:pPr>
  </w:style>
  <w:style w:type="paragraph" w:customStyle="1" w:styleId="41">
    <w:name w:val="缺省文本"/>
    <w:basedOn w:val="1"/>
    <w:qFormat/>
    <w:uiPriority w:val="0"/>
    <w:pPr>
      <w:autoSpaceDE w:val="0"/>
      <w:autoSpaceDN w:val="0"/>
      <w:adjustRightInd w:val="0"/>
      <w:spacing w:before="20" w:after="20" w:line="400" w:lineRule="exact"/>
      <w:ind w:firstLine="504"/>
      <w:jc w:val="left"/>
    </w:pPr>
    <w:rPr>
      <w:rFonts w:ascii="Calibri" w:hAnsi="Calibri" w:eastAsia="宋体" w:cs="Times New Roman"/>
      <w:sz w:val="24"/>
    </w:rPr>
  </w:style>
  <w:style w:type="character" w:customStyle="1" w:styleId="42">
    <w:name w:val="正文文本缩进 Char"/>
    <w:basedOn w:val="25"/>
    <w:link w:val="11"/>
    <w:qFormat/>
    <w:uiPriority w:val="0"/>
    <w:rPr>
      <w:rFonts w:ascii="宋体" w:hAnsi="宋体" w:eastAsia="Malgun Gothic" w:cs="宋体"/>
    </w:rPr>
  </w:style>
  <w:style w:type="character" w:customStyle="1" w:styleId="43">
    <w:name w:val="正文文本缩进 2 Char"/>
    <w:basedOn w:val="25"/>
    <w:link w:val="14"/>
    <w:qFormat/>
    <w:uiPriority w:val="0"/>
    <w:rPr>
      <w:rFonts w:ascii="宋体" w:hAnsi="宋体" w:eastAsia="Malgun Gothic" w:cs="宋体"/>
    </w:rPr>
  </w:style>
  <w:style w:type="paragraph" w:customStyle="1" w:styleId="4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批注框文本 Char"/>
    <w:basedOn w:val="25"/>
    <w:link w:val="15"/>
    <w:qFormat/>
    <w:uiPriority w:val="0"/>
    <w:rPr>
      <w:rFonts w:ascii="宋体" w:hAnsi="宋体" w:eastAsia="Malgun Gothic" w:cs="宋体"/>
      <w:sz w:val="18"/>
      <w:szCs w:val="18"/>
    </w:rPr>
  </w:style>
  <w:style w:type="character" w:customStyle="1" w:styleId="46">
    <w:name w:val="页脚 Char"/>
    <w:basedOn w:val="25"/>
    <w:link w:val="16"/>
    <w:qFormat/>
    <w:uiPriority w:val="99"/>
    <w:rPr>
      <w:rFonts w:ascii="宋体" w:hAnsi="宋体" w:eastAsia="Malgun Gothic" w:cs="宋体"/>
      <w:sz w:val="18"/>
    </w:rPr>
  </w:style>
  <w:style w:type="paragraph" w:customStyle="1" w:styleId="47">
    <w:name w:val="正文缩进1"/>
    <w:basedOn w:val="1"/>
    <w:qFormat/>
    <w:uiPriority w:val="0"/>
    <w:pPr>
      <w:widowControl/>
      <w:ind w:firstLine="420" w:firstLineChars="200"/>
    </w:pPr>
  </w:style>
  <w:style w:type="character" w:customStyle="1" w:styleId="48">
    <w:name w:val="批注文字 Char"/>
    <w:link w:val="8"/>
    <w:qFormat/>
    <w:uiPriority w:val="99"/>
    <w:rPr>
      <w:rFonts w:ascii="宋体" w:hAnsi="宋体" w:eastAsia="宋体" w:cs="宋体"/>
      <w:sz w:val="24"/>
      <w:szCs w:val="24"/>
    </w:rPr>
  </w:style>
  <w:style w:type="character" w:customStyle="1" w:styleId="49">
    <w:name w:val="批注主题 Char"/>
    <w:basedOn w:val="48"/>
    <w:link w:val="22"/>
    <w:qFormat/>
    <w:uiPriority w:val="0"/>
    <w:rPr>
      <w:rFonts w:ascii="宋体" w:hAnsi="宋体" w:eastAsia="Malgun Gothic" w:cs="宋体"/>
      <w:b/>
      <w:bCs/>
      <w:sz w:val="24"/>
      <w:szCs w:val="24"/>
    </w:rPr>
  </w:style>
  <w:style w:type="paragraph" w:customStyle="1" w:styleId="50">
    <w:name w:val="Normal Indent1"/>
    <w:basedOn w:val="1"/>
    <w:qFormat/>
    <w:uiPriority w:val="0"/>
  </w:style>
  <w:style w:type="paragraph" w:customStyle="1" w:styleId="51">
    <w:name w:val="正文 A"/>
    <w:qFormat/>
    <w:uiPriority w:val="0"/>
    <w:pPr>
      <w:widowControl w:val="0"/>
      <w:pBdr>
        <w:top w:val="none" w:color="FFFFFF" w:sz="0" w:space="31"/>
        <w:left w:val="none" w:color="FFFFFF" w:sz="0" w:space="31"/>
        <w:bottom w:val="none" w:color="FFFFFF" w:sz="0" w:space="31"/>
        <w:right w:val="none" w:color="FFFFFF" w:sz="0" w:space="31"/>
      </w:pBdr>
      <w:spacing w:after="160" w:line="259" w:lineRule="auto"/>
      <w:jc w:val="both"/>
    </w:pPr>
    <w:rPr>
      <w:rFonts w:ascii="Calibri" w:hAnsi="Arial Unicode MS" w:eastAsia="Times New Roman" w:cs="Arial Unicode MS"/>
      <w:color w:val="000000"/>
      <w:kern w:val="2"/>
      <w:sz w:val="21"/>
      <w:szCs w:val="21"/>
      <w:lang w:val="en-US" w:eastAsia="zh-CN" w:bidi="ar-SA"/>
    </w:rPr>
  </w:style>
  <w:style w:type="paragraph" w:customStyle="1" w:styleId="52">
    <w:name w:val="Table Paragraph"/>
    <w:basedOn w:val="1"/>
    <w:qFormat/>
    <w:uiPriority w:val="1"/>
    <w:pPr>
      <w:autoSpaceDE w:val="0"/>
      <w:autoSpaceDN w:val="0"/>
      <w:jc w:val="left"/>
    </w:pPr>
    <w:rPr>
      <w:rFonts w:ascii="Noto Sans CJK JP Regular" w:hAnsi="Noto Sans CJK JP Regular" w:eastAsia="Noto Sans CJK JP Regular" w:cs="Noto Sans CJK JP Regular"/>
      <w:sz w:val="22"/>
      <w:szCs w:val="22"/>
      <w:lang w:val="zh-CN" w:bidi="zh-CN"/>
    </w:rPr>
  </w:style>
  <w:style w:type="paragraph" w:customStyle="1" w:styleId="53">
    <w:name w:val="样式2"/>
    <w:basedOn w:val="3"/>
    <w:qFormat/>
    <w:uiPriority w:val="0"/>
    <w:pPr>
      <w:spacing w:before="240" w:after="240" w:line="480" w:lineRule="exact"/>
      <w:jc w:val="center"/>
    </w:pPr>
    <w:rPr>
      <w:rFonts w:eastAsia="楷体_GB2312"/>
    </w:rPr>
  </w:style>
  <w:style w:type="paragraph" w:customStyle="1" w:styleId="54">
    <w:name w:val="Normal_4"/>
    <w:qFormat/>
    <w:uiPriority w:val="0"/>
    <w:pPr>
      <w:spacing w:before="120" w:after="240"/>
      <w:jc w:val="both"/>
    </w:pPr>
    <w:rPr>
      <w:rFonts w:ascii="Times New Roman" w:hAnsi="Times New Roman" w:eastAsia="Times New Roman" w:cs="Times New Roman"/>
      <w:sz w:val="22"/>
      <w:szCs w:val="22"/>
      <w:lang w:val="en-US" w:eastAsia="en-US" w:bidi="ar-SA"/>
    </w:rPr>
  </w:style>
  <w:style w:type="character" w:customStyle="1" w:styleId="55">
    <w:name w:val="NormalCharacter"/>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3E2A4-787F-4842-AC59-BE9586BF8846}">
  <ds:schemaRefs/>
</ds:datastoreItem>
</file>

<file path=customXml/itemProps3.xml><?xml version="1.0" encoding="utf-8"?>
<ds:datastoreItem xmlns:ds="http://schemas.openxmlformats.org/officeDocument/2006/customXml" ds:itemID="{6F2A9AE5-F316-407F-AC76-4BA90DD6B643}">
  <ds:schemaRefs/>
</ds:datastoreItem>
</file>

<file path=customXml/itemProps4.xml><?xml version="1.0" encoding="utf-8"?>
<ds:datastoreItem xmlns:ds="http://schemas.openxmlformats.org/officeDocument/2006/customXml" ds:itemID="{E132D48F-D934-474F-9B2C-FF43B17787F5}">
  <ds:schemaRefs/>
</ds:datastoreItem>
</file>

<file path=customXml/itemProps5.xml><?xml version="1.0" encoding="utf-8"?>
<ds:datastoreItem xmlns:ds="http://schemas.openxmlformats.org/officeDocument/2006/customXml" ds:itemID="{C9A3FE55-2F8B-41E5-AC30-39FE5B24ABE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7065</Words>
  <Characters>7324</Characters>
  <Lines>22</Lines>
  <Paragraphs>50</Paragraphs>
  <TotalTime>12</TotalTime>
  <ScaleCrop>false</ScaleCrop>
  <LinksUpToDate>false</LinksUpToDate>
  <CharactersWithSpaces>7365</CharactersWithSpaces>
  <Application>WPS Office_11.1.0.9662_F1E327BC-269C-435d-A152-05C5408002CA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2025-07-18T07:18:00Z</dcterms:created>
  <dc:creator>20161011-2</dc:creator>
  <cp:lastModifiedBy>zhaowei</cp:lastModifiedBy>
  <cp:lastPrinted>2025-07-10T03:25:00Z</cp:lastPrinted>
  <dcterms:modified xsi:type="dcterms:W3CDTF">2025-07-21T03:18:25Z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5B5E3C20BFFC4864B4D27856E01AF555_13</vt:lpwstr>
  </property>
  <property fmtid="{D5CDD505-2E9C-101B-9397-08002B2CF9AE}" pid="4" name="KSOTemplateDocerSaveRecord">
    <vt:lpwstr>eyJoZGlkIjoiMzhkM2Q3ZjgzZjI3NmFhYjdhMmY5ODIxNDQ2ODNhZjAiLCJ1c2VySWQiOiIyODQ3NjAxNjYifQ==</vt:lpwstr>
  </property>
</Properties>
</file>