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464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heme="minorBidi"/>
          <w:b w:val="0"/>
          <w:bCs w:val="0"/>
          <w:snapToGrid/>
          <w:spacing w:val="0"/>
          <w:kern w:val="2"/>
          <w:sz w:val="44"/>
          <w:szCs w:val="44"/>
          <w14:ligatures w14:val="standardContextual"/>
        </w:rPr>
      </w:pPr>
      <w:bookmarkStart w:id="0" w:name="_Toc24956"/>
      <w:bookmarkStart w:id="1" w:name="_Toc22936"/>
      <w:r>
        <w:rPr>
          <w:rFonts w:hint="eastAsia" w:ascii="方正小标宋简体" w:hAnsi="方正小标宋简体" w:eastAsia="方正小标宋简体" w:cstheme="minorBidi"/>
          <w:b w:val="0"/>
          <w:bCs w:val="0"/>
          <w:snapToGrid/>
          <w:spacing w:val="0"/>
          <w:kern w:val="2"/>
          <w:sz w:val="44"/>
          <w:szCs w:val="44"/>
          <w14:ligatures w14:val="standardContextual"/>
        </w:rPr>
        <w:t>南昌医学院护理学院教学仪器设备采购</w:t>
      </w:r>
    </w:p>
    <w:p w14:paraId="6B7FC5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heme="minorBidi"/>
          <w:b w:val="0"/>
          <w:bCs w:val="0"/>
          <w:snapToGrid/>
          <w:spacing w:val="0"/>
          <w:kern w:val="2"/>
          <w:sz w:val="44"/>
          <w:szCs w:val="44"/>
          <w14:ligatures w14:val="standardContextual"/>
        </w:rPr>
      </w:pPr>
      <w:r>
        <w:rPr>
          <w:rFonts w:hint="eastAsia" w:ascii="方正小标宋简体" w:hAnsi="方正小标宋简体" w:eastAsia="方正小标宋简体" w:cstheme="minorBidi"/>
          <w:b w:val="0"/>
          <w:bCs w:val="0"/>
          <w:snapToGrid/>
          <w:spacing w:val="0"/>
          <w:kern w:val="2"/>
          <w:sz w:val="44"/>
          <w:szCs w:val="44"/>
          <w14:ligatures w14:val="standardContextual"/>
        </w:rPr>
        <w:t>项目</w:t>
      </w:r>
      <w:r>
        <w:rPr>
          <w:rFonts w:hint="eastAsia" w:ascii="方正小标宋简体" w:hAnsi="方正小标宋简体" w:eastAsia="方正小标宋简体" w:cstheme="minorBidi"/>
          <w:b w:val="0"/>
          <w:bCs w:val="0"/>
          <w:snapToGrid/>
          <w:spacing w:val="0"/>
          <w:kern w:val="2"/>
          <w:sz w:val="44"/>
          <w:szCs w:val="44"/>
          <w:lang w:val="en-US" w:eastAsia="zh-CN"/>
          <w14:ligatures w14:val="standardContextual"/>
        </w:rPr>
        <w:t>信息</w:t>
      </w:r>
    </w:p>
    <w:p w14:paraId="233F0912">
      <w:pPr>
        <w:pStyle w:val="5"/>
        <w:pageBreakBefore w:val="0"/>
        <w:kinsoku/>
        <w:overflowPunct/>
        <w:topLinePunct w:val="0"/>
        <w:bidi w:val="0"/>
        <w:spacing w:line="500" w:lineRule="exact"/>
        <w:rPr>
          <w:rFonts w:hint="eastAsia" w:ascii="宋体" w:hAnsi="宋体" w:eastAsia="宋体" w:cs="宋体"/>
          <w:sz w:val="28"/>
          <w:szCs w:val="28"/>
        </w:rPr>
      </w:pPr>
    </w:p>
    <w:p w14:paraId="2564F7A4">
      <w:pPr>
        <w:pStyle w:val="5"/>
        <w:pageBreakBefore w:val="0"/>
        <w:kinsoku/>
        <w:overflowPunct/>
        <w:topLinePunct w:val="0"/>
        <w:bidi w:val="0"/>
        <w:spacing w:line="500" w:lineRule="exact"/>
        <w:rPr>
          <w:rFonts w:hint="eastAsia" w:ascii="黑体" w:hAnsi="黑体" w:eastAsia="黑体" w:cs="黑体"/>
          <w:b w:val="0"/>
          <w:bCs w:val="0"/>
          <w:sz w:val="28"/>
          <w:szCs w:val="28"/>
        </w:rPr>
      </w:pPr>
      <w:r>
        <w:rPr>
          <w:rFonts w:hint="eastAsia" w:ascii="黑体" w:hAnsi="黑体" w:eastAsia="黑体" w:cs="黑体"/>
          <w:b w:val="0"/>
          <w:bCs w:val="0"/>
          <w:sz w:val="28"/>
          <w:szCs w:val="28"/>
        </w:rPr>
        <w:t>一、项目基本情况</w:t>
      </w:r>
      <w:bookmarkEnd w:id="0"/>
      <w:bookmarkEnd w:id="1"/>
    </w:p>
    <w:p w14:paraId="3B842089">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rPr>
      </w:pPr>
      <w:r>
        <w:rPr>
          <w:rFonts w:hint="eastAsia" w:ascii="仿宋_GB2312" w:hAnsi="仿宋_GB2312" w:eastAsia="仿宋_GB2312" w:cs="仿宋_GB2312"/>
          <w:spacing w:val="-7"/>
          <w:sz w:val="28"/>
          <w:szCs w:val="28"/>
        </w:rPr>
        <w:t>项目名称：南昌医学院护理学院教学仪器设备采购项目</w:t>
      </w:r>
    </w:p>
    <w:p w14:paraId="7FA32739">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采购方式：公开招标（最低评标价法）</w:t>
      </w:r>
    </w:p>
    <w:p w14:paraId="67C24417">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合同履行期限：</w:t>
      </w:r>
      <w:r>
        <w:rPr>
          <w:rFonts w:hint="eastAsia" w:ascii="仿宋_GB2312" w:hAnsi="仿宋_GB2312" w:eastAsia="仿宋_GB2312" w:cs="仿宋_GB2312"/>
          <w:sz w:val="28"/>
          <w:szCs w:val="28"/>
        </w:rPr>
        <w:t>合同签订后20个日历日内。中标人应保证在要求时间内完成全部货物的供货、安装、调试和培训工作，符合国家标准、行业规范和合同等相关文件的要求。</w:t>
      </w:r>
    </w:p>
    <w:p w14:paraId="30D5B879">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pacing w:val="-7"/>
          <w:sz w:val="28"/>
          <w:szCs w:val="28"/>
        </w:rPr>
      </w:pPr>
      <w:r>
        <w:rPr>
          <w:rFonts w:hint="eastAsia" w:ascii="仿宋_GB2312" w:hAnsi="仿宋_GB2312" w:eastAsia="仿宋_GB2312" w:cs="仿宋_GB2312"/>
          <w:sz w:val="28"/>
          <w:szCs w:val="28"/>
        </w:rPr>
        <w:t>本项目是否接受联合体投标：否</w:t>
      </w:r>
    </w:p>
    <w:p w14:paraId="218CA43E">
      <w:pPr>
        <w:pStyle w:val="5"/>
        <w:pageBreakBefore w:val="0"/>
        <w:kinsoku/>
        <w:overflowPunct/>
        <w:topLinePunct w:val="0"/>
        <w:bidi w:val="0"/>
        <w:spacing w:line="500" w:lineRule="exact"/>
        <w:rPr>
          <w:rFonts w:hint="eastAsia" w:ascii="黑体" w:hAnsi="黑体" w:eastAsia="黑体" w:cs="黑体"/>
          <w:b w:val="0"/>
          <w:bCs w:val="0"/>
          <w:sz w:val="28"/>
          <w:szCs w:val="28"/>
        </w:rPr>
      </w:pPr>
      <w:bookmarkStart w:id="2" w:name="_Toc22458"/>
      <w:bookmarkStart w:id="3" w:name="_Toc5686"/>
      <w:r>
        <w:rPr>
          <w:rFonts w:hint="eastAsia" w:ascii="黑体" w:hAnsi="黑体" w:eastAsia="黑体" w:cs="黑体"/>
          <w:b w:val="0"/>
          <w:bCs w:val="0"/>
          <w:sz w:val="28"/>
          <w:szCs w:val="28"/>
        </w:rPr>
        <w:t>二、投标人的资格要求</w:t>
      </w:r>
      <w:bookmarkEnd w:id="2"/>
      <w:bookmarkEnd w:id="3"/>
    </w:p>
    <w:p w14:paraId="15F402B0">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bookmarkStart w:id="4" w:name="_Toc31052"/>
      <w:bookmarkStart w:id="5" w:name="_Toc20978"/>
      <w:bookmarkStart w:id="6" w:name="_Toc1729"/>
      <w:bookmarkStart w:id="7" w:name="_Toc13479"/>
      <w:bookmarkStart w:id="8" w:name="_Toc17112"/>
      <w:r>
        <w:rPr>
          <w:rFonts w:hint="eastAsia" w:ascii="仿宋_GB2312" w:hAnsi="仿宋_GB2312" w:eastAsia="仿宋_GB2312" w:cs="仿宋_GB2312"/>
          <w:sz w:val="28"/>
          <w:szCs w:val="28"/>
          <w:lang w:eastAsia="zh-CN"/>
        </w:rPr>
        <w:t>1.满足《中华人民共和国政府采购法》第二十二条规定：</w:t>
      </w:r>
      <w:bookmarkEnd w:id="4"/>
      <w:bookmarkEnd w:id="5"/>
      <w:bookmarkEnd w:id="6"/>
    </w:p>
    <w:p w14:paraId="795D1D0B">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（1）具有独立承担民事责任的能力；</w:t>
      </w:r>
    </w:p>
    <w:p w14:paraId="5DD744D9">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（2）具有良好的商业信誉和健全的财务会计制度；</w:t>
      </w:r>
    </w:p>
    <w:p w14:paraId="5DEFE5E6">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（3）具有履行合同所必需的设备和专业技术能力；</w:t>
      </w:r>
    </w:p>
    <w:p w14:paraId="512E9844">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（4）有依法缴纳税收和社会保障资金的良好记录；</w:t>
      </w:r>
    </w:p>
    <w:p w14:paraId="037606B7">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（5）参加政府采购活动前三年内,在经营活动中没有重大违法记录；</w:t>
      </w:r>
    </w:p>
    <w:p w14:paraId="735CA3CD">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（6）法律、行政法规规定的其他条件。</w:t>
      </w:r>
    </w:p>
    <w:p w14:paraId="343BE7A0">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单位负责人为同一人或者存在直接控股、管理关系的不同投标人，不得参加同一合同项下的采购活动。为本采购项目提供整体设计、规范编制或者项目管理、监理、检测等服务的，不得参加本项目的政府采购活动。</w:t>
      </w:r>
    </w:p>
    <w:p w14:paraId="0064BECB">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3.投标人被“信用中国”网站列入失信被执行人和重大税收违法失信主体的、被“中国政府采购网”网站列入政府采购严重违法失信行为记录名单（处罚期限尚未届满的），不得参加本项目的政府采购活动。</w:t>
      </w:r>
    </w:p>
    <w:p w14:paraId="05C42A44">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bookmarkStart w:id="9" w:name="_Toc23250"/>
      <w:bookmarkStart w:id="10" w:name="_Toc655"/>
      <w:bookmarkStart w:id="11" w:name="_Toc23725"/>
      <w:r>
        <w:rPr>
          <w:rFonts w:hint="eastAsia" w:ascii="仿宋_GB2312" w:hAnsi="仿宋_GB2312" w:eastAsia="仿宋_GB2312" w:cs="仿宋_GB2312"/>
          <w:sz w:val="28"/>
          <w:szCs w:val="28"/>
          <w:lang w:eastAsia="zh-CN"/>
        </w:rPr>
        <w:t>4.落实政府采购政策需满足的资格要求：</w:t>
      </w:r>
      <w:bookmarkEnd w:id="9"/>
      <w:bookmarkEnd w:id="10"/>
      <w:bookmarkEnd w:id="11"/>
    </w:p>
    <w:p w14:paraId="12BC9F83">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bookmarkStart w:id="12" w:name="_Toc29678"/>
      <w:bookmarkStart w:id="13" w:name="_Toc25777"/>
      <w:bookmarkStart w:id="14" w:name="_Toc12124"/>
      <w:r>
        <w:rPr>
          <w:rFonts w:hint="eastAsia" w:ascii="仿宋_GB2312" w:hAnsi="仿宋_GB2312" w:eastAsia="仿宋_GB2312" w:cs="仿宋_GB2312"/>
          <w:sz w:val="28"/>
          <w:szCs w:val="28"/>
          <w:lang w:eastAsia="zh-CN"/>
        </w:rPr>
        <w:t>本项目专门面向中小企业采购。所投产品的制造商须在中华人民共和国境内依法设立，依据国务院批准的中小企业划分标准确定的中型企业、小型企业和微型企业，但与大企业的负责人为同一人，或者与大企业存在直接控股、管理关系的除外；监狱企业、残疾人福利性单位视同小型、微型企业。（投标文件中须提供有效的中小企业声明函或省级以上监狱管理局、戒毒管理局（含新疆生产建设兵团）出具的属于监狱企业的证明文件或残疾人福利性单位声明函）</w:t>
      </w:r>
    </w:p>
    <w:p w14:paraId="3B99934B">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5.本项目的特定资格要求：</w:t>
      </w:r>
      <w:bookmarkEnd w:id="12"/>
      <w:bookmarkEnd w:id="13"/>
      <w:bookmarkEnd w:id="14"/>
      <w:r>
        <w:rPr>
          <w:rFonts w:hint="eastAsia" w:ascii="仿宋_GB2312" w:hAnsi="仿宋_GB2312" w:eastAsia="仿宋_GB2312" w:cs="仿宋_GB2312"/>
          <w:sz w:val="28"/>
          <w:szCs w:val="28"/>
          <w:lang w:val="en-US" w:eastAsia="zh-CN"/>
        </w:rPr>
        <w:t>无。</w:t>
      </w:r>
    </w:p>
    <w:p w14:paraId="5CBBFF1C">
      <w:pPr>
        <w:pageBreakBefore w:val="0"/>
        <w:numPr>
          <w:ilvl w:val="0"/>
          <w:numId w:val="0"/>
        </w:numPr>
        <w:kinsoku/>
        <w:wordWrap w:val="0"/>
        <w:overflowPunct/>
        <w:topLinePunct w:val="0"/>
        <w:bidi w:val="0"/>
        <w:spacing w:line="500" w:lineRule="exact"/>
        <w:rPr>
          <w:rFonts w:hint="eastAsia" w:ascii="仿宋_GB2312" w:hAnsi="仿宋_GB2312" w:eastAsia="仿宋_GB2312" w:cs="仿宋_GB2312"/>
          <w:spacing w:val="-7"/>
          <w:sz w:val="28"/>
          <w:szCs w:val="28"/>
          <w:lang w:val="en-US" w:eastAsia="zh-CN"/>
        </w:rPr>
      </w:pPr>
    </w:p>
    <w:p w14:paraId="198B6AB2">
      <w:pPr>
        <w:pStyle w:val="5"/>
        <w:pageBreakBefore w:val="0"/>
        <w:kinsoku/>
        <w:overflowPunct/>
        <w:topLinePunct w:val="0"/>
        <w:bidi w:val="0"/>
        <w:spacing w:line="500" w:lineRule="exact"/>
        <w:rPr>
          <w:rFonts w:hint="eastAsia" w:ascii="黑体" w:hAnsi="黑体" w:eastAsia="黑体" w:cs="黑体"/>
          <w:b w:val="0"/>
          <w:bCs w:val="0"/>
          <w:sz w:val="28"/>
          <w:szCs w:val="28"/>
        </w:rPr>
      </w:pPr>
      <w:r>
        <w:rPr>
          <w:rFonts w:hint="eastAsia" w:ascii="黑体" w:hAnsi="黑体" w:eastAsia="黑体" w:cs="黑体"/>
          <w:b w:val="0"/>
          <w:bCs w:val="0"/>
          <w:sz w:val="28"/>
          <w:szCs w:val="28"/>
        </w:rPr>
        <w:t>三、</w:t>
      </w:r>
      <w:bookmarkEnd w:id="7"/>
      <w:bookmarkEnd w:id="8"/>
      <w:r>
        <w:rPr>
          <w:rFonts w:hint="eastAsia" w:ascii="黑体" w:hAnsi="黑体" w:eastAsia="黑体" w:cs="黑体"/>
          <w:b w:val="0"/>
          <w:bCs w:val="0"/>
          <w:sz w:val="28"/>
          <w:szCs w:val="28"/>
        </w:rPr>
        <w:t>采购需求</w:t>
      </w:r>
      <w:bookmarkStart w:id="15" w:name="_Toc28817"/>
      <w:bookmarkStart w:id="16" w:name="_Toc21259"/>
      <w:bookmarkStart w:id="17" w:name="_Toc14604"/>
      <w:bookmarkStart w:id="18" w:name="_Toc3848"/>
      <w:bookmarkStart w:id="19" w:name="_Toc15337"/>
    </w:p>
    <w:p w14:paraId="001873C3">
      <w:pPr>
        <w:jc w:val="center"/>
        <w:rPr>
          <w:rFonts w:hint="eastAsia" w:ascii="楷体" w:hAnsi="楷体" w:eastAsia="楷体" w:cs="楷体"/>
          <w:b/>
          <w:bCs/>
          <w:sz w:val="28"/>
          <w:szCs w:val="28"/>
        </w:rPr>
      </w:pPr>
      <w:r>
        <w:rPr>
          <w:rFonts w:hint="eastAsia" w:ascii="楷体" w:hAnsi="楷体" w:eastAsia="楷体" w:cs="楷体"/>
          <w:b/>
          <w:bCs/>
          <w:sz w:val="28"/>
          <w:szCs w:val="28"/>
        </w:rPr>
        <w:t>1、</w:t>
      </w:r>
      <w:r>
        <w:rPr>
          <w:rFonts w:hint="eastAsia" w:ascii="楷体" w:hAnsi="楷体" w:eastAsia="楷体" w:cs="楷体"/>
          <w:b/>
          <w:bCs/>
          <w:sz w:val="28"/>
          <w:szCs w:val="28"/>
          <w:lang w:val="en-US" w:eastAsia="zh-CN"/>
        </w:rPr>
        <w:t>标的</w:t>
      </w:r>
      <w:r>
        <w:rPr>
          <w:rFonts w:hint="eastAsia" w:ascii="楷体" w:hAnsi="楷体" w:eastAsia="楷体" w:cs="楷体"/>
          <w:b/>
          <w:bCs/>
          <w:sz w:val="28"/>
          <w:szCs w:val="28"/>
        </w:rPr>
        <w:t>清单</w:t>
      </w:r>
      <w:bookmarkEnd w:id="15"/>
      <w:bookmarkEnd w:id="16"/>
      <w:bookmarkEnd w:id="17"/>
      <w:bookmarkEnd w:id="18"/>
      <w:bookmarkEnd w:id="19"/>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846"/>
        <w:gridCol w:w="944"/>
        <w:gridCol w:w="917"/>
        <w:gridCol w:w="2597"/>
        <w:gridCol w:w="1209"/>
      </w:tblGrid>
      <w:tr w14:paraId="5AB2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7" w:hRule="atLeast"/>
          <w:jc w:val="center"/>
        </w:trPr>
        <w:tc>
          <w:tcPr>
            <w:tcW w:w="393" w:type="pct"/>
            <w:noWrap/>
            <w:vAlign w:val="center"/>
          </w:tcPr>
          <w:p w14:paraId="6F4497D4">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b/>
                <w:sz w:val="24"/>
                <w:szCs w:val="24"/>
              </w:rPr>
            </w:pPr>
            <w:bookmarkStart w:id="20" w:name="_Toc25545"/>
            <w:bookmarkStart w:id="21" w:name="_Toc24924"/>
            <w:bookmarkStart w:id="22" w:name="_Toc2349"/>
            <w:bookmarkStart w:id="23" w:name="_Toc29296"/>
            <w:r>
              <w:rPr>
                <w:rFonts w:hint="eastAsia" w:ascii="宋体" w:hAnsi="宋体" w:eastAsia="宋体" w:cs="宋体"/>
                <w:b/>
                <w:sz w:val="24"/>
                <w:szCs w:val="24"/>
              </w:rPr>
              <w:t>序号</w:t>
            </w:r>
          </w:p>
        </w:tc>
        <w:tc>
          <w:tcPr>
            <w:tcW w:w="1539" w:type="pct"/>
            <w:noWrap/>
            <w:vAlign w:val="center"/>
          </w:tcPr>
          <w:p w14:paraId="2888CD9E">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b/>
                <w:sz w:val="24"/>
                <w:szCs w:val="24"/>
              </w:rPr>
            </w:pPr>
            <w:r>
              <w:rPr>
                <w:rFonts w:hint="eastAsia" w:ascii="宋体" w:hAnsi="宋体" w:eastAsia="宋体" w:cs="宋体"/>
                <w:b/>
                <w:sz w:val="24"/>
                <w:szCs w:val="24"/>
              </w:rPr>
              <w:t>名称</w:t>
            </w:r>
          </w:p>
        </w:tc>
        <w:tc>
          <w:tcPr>
            <w:tcW w:w="510" w:type="pct"/>
            <w:noWrap/>
            <w:vAlign w:val="center"/>
          </w:tcPr>
          <w:p w14:paraId="2341B997">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b/>
                <w:sz w:val="24"/>
                <w:szCs w:val="24"/>
              </w:rPr>
            </w:pPr>
            <w:r>
              <w:rPr>
                <w:rFonts w:hint="eastAsia" w:ascii="宋体" w:hAnsi="宋体" w:eastAsia="宋体" w:cs="宋体"/>
                <w:b/>
                <w:sz w:val="24"/>
                <w:szCs w:val="24"/>
              </w:rPr>
              <w:t>数量</w:t>
            </w:r>
          </w:p>
        </w:tc>
        <w:tc>
          <w:tcPr>
            <w:tcW w:w="496" w:type="pct"/>
            <w:noWrap/>
            <w:vAlign w:val="center"/>
          </w:tcPr>
          <w:p w14:paraId="53F786B5">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b/>
                <w:sz w:val="24"/>
                <w:szCs w:val="24"/>
              </w:rPr>
            </w:pPr>
            <w:r>
              <w:rPr>
                <w:rFonts w:hint="eastAsia" w:ascii="宋体" w:hAnsi="宋体" w:eastAsia="宋体" w:cs="宋体"/>
                <w:b/>
                <w:sz w:val="24"/>
                <w:szCs w:val="24"/>
              </w:rPr>
              <w:t>单位</w:t>
            </w:r>
          </w:p>
        </w:tc>
        <w:tc>
          <w:tcPr>
            <w:tcW w:w="1404" w:type="pct"/>
            <w:noWrap/>
            <w:vAlign w:val="center"/>
          </w:tcPr>
          <w:p w14:paraId="171AB94B">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b/>
                <w:sz w:val="24"/>
                <w:szCs w:val="24"/>
                <w:lang w:eastAsia="zh-CN"/>
              </w:rPr>
            </w:pPr>
            <w:r>
              <w:rPr>
                <w:rFonts w:hint="eastAsia" w:ascii="宋体" w:hAnsi="宋体" w:eastAsia="宋体" w:cs="宋体"/>
                <w:b/>
                <w:bCs/>
                <w:color w:val="000000"/>
                <w:sz w:val="24"/>
                <w:szCs w:val="24"/>
                <w:lang w:eastAsia="zh-CN"/>
              </w:rPr>
              <w:t>采购标的对应的中小企业划分标准所属行业</w:t>
            </w:r>
          </w:p>
        </w:tc>
        <w:tc>
          <w:tcPr>
            <w:tcW w:w="654" w:type="pct"/>
            <w:noWrap/>
            <w:vAlign w:val="center"/>
          </w:tcPr>
          <w:p w14:paraId="7A1EDD98">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是否核心产品</w:t>
            </w:r>
          </w:p>
        </w:tc>
      </w:tr>
      <w:tr w14:paraId="7C01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93" w:type="pct"/>
            <w:noWrap/>
            <w:vAlign w:val="center"/>
          </w:tcPr>
          <w:p w14:paraId="3D3BE9E3">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1539" w:type="pct"/>
            <w:noWrap/>
            <w:vAlign w:val="center"/>
          </w:tcPr>
          <w:p w14:paraId="3C17AC85">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中医智能拔罐、刮痧、推拿练习模型</w:t>
            </w:r>
          </w:p>
        </w:tc>
        <w:tc>
          <w:tcPr>
            <w:tcW w:w="510" w:type="pct"/>
            <w:noWrap/>
            <w:vAlign w:val="center"/>
          </w:tcPr>
          <w:p w14:paraId="4C59DCE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8</w:t>
            </w:r>
          </w:p>
        </w:tc>
        <w:tc>
          <w:tcPr>
            <w:tcW w:w="496" w:type="pct"/>
            <w:noWrap/>
            <w:vAlign w:val="center"/>
          </w:tcPr>
          <w:p w14:paraId="23FBB370">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480039C2">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工业</w:t>
            </w:r>
          </w:p>
        </w:tc>
        <w:tc>
          <w:tcPr>
            <w:tcW w:w="654" w:type="pct"/>
            <w:noWrap/>
            <w:vAlign w:val="center"/>
          </w:tcPr>
          <w:p w14:paraId="53A2CEA6">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否</w:t>
            </w:r>
          </w:p>
        </w:tc>
      </w:tr>
      <w:tr w14:paraId="162C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335D5F94">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rPr>
            </w:pPr>
            <w:r>
              <w:rPr>
                <w:rFonts w:hint="eastAsia" w:ascii="宋体" w:hAnsi="宋体" w:eastAsia="宋体" w:cs="宋体"/>
                <w:sz w:val="24"/>
                <w:szCs w:val="24"/>
              </w:rPr>
              <w:t>2</w:t>
            </w:r>
          </w:p>
        </w:tc>
        <w:tc>
          <w:tcPr>
            <w:tcW w:w="1539" w:type="pct"/>
            <w:noWrap/>
            <w:vAlign w:val="center"/>
          </w:tcPr>
          <w:p w14:paraId="4A55147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中医舌诊模型舌苔病态变化症状模</w:t>
            </w:r>
          </w:p>
        </w:tc>
        <w:tc>
          <w:tcPr>
            <w:tcW w:w="510" w:type="pct"/>
            <w:noWrap/>
            <w:vAlign w:val="center"/>
          </w:tcPr>
          <w:p w14:paraId="2CAF325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496" w:type="pct"/>
            <w:noWrap/>
            <w:vAlign w:val="center"/>
          </w:tcPr>
          <w:p w14:paraId="6059A25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669E9CB8">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05D0BEC1">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43FC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6CC53CB5">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539" w:type="pct"/>
            <w:noWrap/>
            <w:vAlign w:val="center"/>
          </w:tcPr>
          <w:p w14:paraId="6CD67DBB">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推拿模型</w:t>
            </w:r>
          </w:p>
        </w:tc>
        <w:tc>
          <w:tcPr>
            <w:tcW w:w="510" w:type="pct"/>
            <w:noWrap/>
            <w:vAlign w:val="center"/>
          </w:tcPr>
          <w:p w14:paraId="55B818C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p>
        </w:tc>
        <w:tc>
          <w:tcPr>
            <w:tcW w:w="496" w:type="pct"/>
            <w:noWrap/>
            <w:vAlign w:val="center"/>
          </w:tcPr>
          <w:p w14:paraId="4B9AA4D3">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193C0643">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32979705">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2BFA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A5857BA">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539" w:type="pct"/>
            <w:noWrap/>
            <w:vAlign w:val="center"/>
          </w:tcPr>
          <w:p w14:paraId="40159CAB">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全功能中医模拟训练模型</w:t>
            </w:r>
          </w:p>
        </w:tc>
        <w:tc>
          <w:tcPr>
            <w:tcW w:w="510" w:type="pct"/>
            <w:noWrap/>
            <w:vAlign w:val="center"/>
          </w:tcPr>
          <w:p w14:paraId="2078E97F">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p>
        </w:tc>
        <w:tc>
          <w:tcPr>
            <w:tcW w:w="496" w:type="pct"/>
            <w:noWrap/>
            <w:vAlign w:val="center"/>
          </w:tcPr>
          <w:p w14:paraId="66E57E0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09C94C30">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2E8D9B7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0F2C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06E42293">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539" w:type="pct"/>
            <w:noWrap/>
            <w:vAlign w:val="center"/>
          </w:tcPr>
          <w:p w14:paraId="38E2C88D">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脉象训练仪</w:t>
            </w:r>
          </w:p>
        </w:tc>
        <w:tc>
          <w:tcPr>
            <w:tcW w:w="510" w:type="pct"/>
            <w:noWrap/>
            <w:vAlign w:val="center"/>
          </w:tcPr>
          <w:p w14:paraId="62192182">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96" w:type="pct"/>
            <w:noWrap/>
            <w:vAlign w:val="center"/>
          </w:tcPr>
          <w:p w14:paraId="5D386A73">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5FEFCAD3">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5FE6F3B9">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6A53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B7F7883">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539" w:type="pct"/>
            <w:noWrap/>
            <w:vAlign w:val="center"/>
          </w:tcPr>
          <w:p w14:paraId="318E206B">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中医推拿床配套组件</w:t>
            </w:r>
          </w:p>
        </w:tc>
        <w:tc>
          <w:tcPr>
            <w:tcW w:w="510" w:type="pct"/>
            <w:noWrap/>
            <w:vAlign w:val="center"/>
          </w:tcPr>
          <w:p w14:paraId="097A542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8</w:t>
            </w:r>
          </w:p>
        </w:tc>
        <w:tc>
          <w:tcPr>
            <w:tcW w:w="496" w:type="pct"/>
            <w:noWrap/>
            <w:vAlign w:val="center"/>
          </w:tcPr>
          <w:p w14:paraId="5AA32648">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118680FF">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558CFF3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1E03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243C2452">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39" w:type="pct"/>
            <w:noWrap/>
            <w:vAlign w:val="center"/>
          </w:tcPr>
          <w:p w14:paraId="4396E5FE">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仿古穴位铜人</w:t>
            </w:r>
          </w:p>
        </w:tc>
        <w:tc>
          <w:tcPr>
            <w:tcW w:w="510" w:type="pct"/>
            <w:noWrap/>
            <w:vAlign w:val="center"/>
          </w:tcPr>
          <w:p w14:paraId="7C5E0D3B">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96" w:type="pct"/>
            <w:noWrap/>
            <w:vAlign w:val="center"/>
          </w:tcPr>
          <w:p w14:paraId="32706E49">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1767860F">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5A869CEB">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355C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61757645">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539" w:type="pct"/>
            <w:noWrap/>
            <w:vAlign w:val="center"/>
          </w:tcPr>
          <w:p w14:paraId="5EFCEE2D">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中医舌象智能辅助诊断系统（教学版）</w:t>
            </w:r>
          </w:p>
        </w:tc>
        <w:tc>
          <w:tcPr>
            <w:tcW w:w="510" w:type="pct"/>
            <w:noWrap/>
            <w:vAlign w:val="center"/>
          </w:tcPr>
          <w:p w14:paraId="203887B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96" w:type="pct"/>
            <w:noWrap/>
            <w:vAlign w:val="center"/>
          </w:tcPr>
          <w:p w14:paraId="5F1BE105">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0C94AF8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1826AA6D">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6AC7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D69B8B4">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539" w:type="pct"/>
            <w:noWrap/>
            <w:vAlign w:val="center"/>
          </w:tcPr>
          <w:p w14:paraId="1E16818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临床技能训练移动示教车教学系统</w:t>
            </w:r>
          </w:p>
        </w:tc>
        <w:tc>
          <w:tcPr>
            <w:tcW w:w="510" w:type="pct"/>
            <w:noWrap/>
            <w:vAlign w:val="center"/>
          </w:tcPr>
          <w:p w14:paraId="22CA95B4">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p>
        </w:tc>
        <w:tc>
          <w:tcPr>
            <w:tcW w:w="496" w:type="pct"/>
            <w:noWrap/>
            <w:vAlign w:val="center"/>
          </w:tcPr>
          <w:p w14:paraId="496E7C6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40A5ACD7">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1F7B9B96">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b/>
                <w:bCs/>
                <w:color w:val="auto"/>
                <w:kern w:val="0"/>
                <w:sz w:val="24"/>
                <w:szCs w:val="24"/>
                <w:lang w:val="en-US" w:eastAsia="zh-CN"/>
              </w:rPr>
              <w:t>是</w:t>
            </w:r>
          </w:p>
        </w:tc>
      </w:tr>
      <w:tr w14:paraId="627D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D8B211D">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539" w:type="pct"/>
            <w:noWrap/>
            <w:vAlign w:val="center"/>
          </w:tcPr>
          <w:p w14:paraId="6735526D">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临床技能训练移动示教车</w:t>
            </w:r>
          </w:p>
        </w:tc>
        <w:tc>
          <w:tcPr>
            <w:tcW w:w="510" w:type="pct"/>
            <w:noWrap/>
            <w:vAlign w:val="center"/>
          </w:tcPr>
          <w:p w14:paraId="1107C81C">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96" w:type="pct"/>
            <w:noWrap/>
            <w:vAlign w:val="center"/>
          </w:tcPr>
          <w:p w14:paraId="5937D77E">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404" w:type="pct"/>
            <w:noWrap/>
            <w:vAlign w:val="center"/>
          </w:tcPr>
          <w:p w14:paraId="7C72E5A4">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1C31CEAA">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r w14:paraId="6E1C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129B565B">
            <w:pPr>
              <w:keepNext w:val="0"/>
              <w:keepLines w:val="0"/>
              <w:pageBreakBefore w:val="0"/>
              <w:widowControl w:val="0"/>
              <w:kinsoku/>
              <w:wordWrap/>
              <w:overflowPunct/>
              <w:topLinePunct/>
              <w:autoSpaceDE/>
              <w:autoSpaceDN/>
              <w:bidi w:val="0"/>
              <w:adjustRightInd w:val="0"/>
              <w:snapToGrid w:val="0"/>
              <w:spacing w:line="46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1539" w:type="pct"/>
            <w:noWrap/>
            <w:vAlign w:val="center"/>
          </w:tcPr>
          <w:p w14:paraId="261BF7E0">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中药材磨粉碎机</w:t>
            </w:r>
          </w:p>
        </w:tc>
        <w:tc>
          <w:tcPr>
            <w:tcW w:w="510" w:type="pct"/>
            <w:noWrap/>
            <w:vAlign w:val="center"/>
          </w:tcPr>
          <w:p w14:paraId="7B8848D9">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96" w:type="pct"/>
            <w:noWrap/>
            <w:vAlign w:val="center"/>
          </w:tcPr>
          <w:p w14:paraId="4750EA89">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台</w:t>
            </w:r>
          </w:p>
        </w:tc>
        <w:tc>
          <w:tcPr>
            <w:tcW w:w="1404" w:type="pct"/>
            <w:noWrap/>
            <w:vAlign w:val="center"/>
          </w:tcPr>
          <w:p w14:paraId="66F13510">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工业</w:t>
            </w:r>
          </w:p>
        </w:tc>
        <w:tc>
          <w:tcPr>
            <w:tcW w:w="654" w:type="pct"/>
            <w:noWrap/>
            <w:vAlign w:val="center"/>
          </w:tcPr>
          <w:p w14:paraId="50E016A4">
            <w:pPr>
              <w:keepNext w:val="0"/>
              <w:keepLines w:val="0"/>
              <w:pageBreakBefore w:val="0"/>
              <w:widowControl w:val="0"/>
              <w:kinsoku/>
              <w:wordWrap/>
              <w:overflowPunct/>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否</w:t>
            </w:r>
          </w:p>
        </w:tc>
      </w:tr>
    </w:tbl>
    <w:p w14:paraId="1B773B25">
      <w:pPr>
        <w:jc w:val="both"/>
        <w:rPr>
          <w:rFonts w:hint="eastAsia" w:ascii="楷体" w:hAnsi="楷体" w:eastAsia="楷体" w:cs="楷体"/>
          <w:b/>
          <w:bCs/>
          <w:sz w:val="28"/>
          <w:szCs w:val="28"/>
        </w:rPr>
      </w:pPr>
    </w:p>
    <w:p w14:paraId="2C2BB64C">
      <w:pPr>
        <w:jc w:val="center"/>
        <w:rPr>
          <w:rFonts w:hint="eastAsia" w:ascii="楷体" w:hAnsi="楷体" w:eastAsia="楷体" w:cs="楷体"/>
          <w:b/>
          <w:bCs/>
          <w:sz w:val="28"/>
          <w:szCs w:val="28"/>
        </w:rPr>
      </w:pPr>
      <w:r>
        <w:rPr>
          <w:rFonts w:hint="eastAsia" w:ascii="楷体" w:hAnsi="楷体" w:eastAsia="楷体" w:cs="楷体"/>
          <w:b/>
          <w:bCs/>
          <w:sz w:val="28"/>
          <w:szCs w:val="28"/>
        </w:rPr>
        <w:t>2、技术要求</w:t>
      </w:r>
      <w:bookmarkEnd w:id="20"/>
      <w:bookmarkEnd w:id="21"/>
      <w:bookmarkEnd w:id="22"/>
      <w:bookmarkEnd w:id="23"/>
    </w:p>
    <w:tbl>
      <w:tblPr>
        <w:tblStyle w:val="23"/>
        <w:tblW w:w="4998" w:type="pct"/>
        <w:tblInd w:w="0" w:type="dxa"/>
        <w:tblLayout w:type="autofit"/>
        <w:tblCellMar>
          <w:top w:w="0" w:type="dxa"/>
          <w:left w:w="108" w:type="dxa"/>
          <w:bottom w:w="0" w:type="dxa"/>
          <w:right w:w="108" w:type="dxa"/>
        </w:tblCellMar>
      </w:tblPr>
      <w:tblGrid>
        <w:gridCol w:w="776"/>
        <w:gridCol w:w="1773"/>
        <w:gridCol w:w="6689"/>
      </w:tblGrid>
      <w:tr w14:paraId="2A18295A">
        <w:tblPrEx>
          <w:tblCellMar>
            <w:top w:w="0" w:type="dxa"/>
            <w:left w:w="108" w:type="dxa"/>
            <w:bottom w:w="0" w:type="dxa"/>
            <w:right w:w="108" w:type="dxa"/>
          </w:tblCellMar>
        </w:tblPrEx>
        <w:trPr>
          <w:trHeight w:val="492" w:hRule="atLeast"/>
        </w:trPr>
        <w:tc>
          <w:tcPr>
            <w:tcW w:w="420" w:type="pc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BE5D286">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bookmarkStart w:id="24" w:name="_Toc27812"/>
            <w:bookmarkStart w:id="25" w:name="_Toc22817"/>
            <w:r>
              <w:rPr>
                <w:rFonts w:hint="eastAsia" w:ascii="宋体" w:hAnsi="宋体" w:eastAsia="宋体" w:cs="宋体"/>
                <w:color w:val="auto"/>
                <w:kern w:val="0"/>
                <w:sz w:val="24"/>
                <w:szCs w:val="24"/>
              </w:rPr>
              <w:t>序号</w:t>
            </w:r>
          </w:p>
        </w:tc>
        <w:tc>
          <w:tcPr>
            <w:tcW w:w="959" w:type="pct"/>
            <w:tcBorders>
              <w:top w:val="single" w:color="auto" w:sz="4" w:space="0"/>
              <w:left w:val="nil"/>
              <w:bottom w:val="single" w:color="auto" w:sz="4" w:space="0"/>
              <w:right w:val="single" w:color="auto" w:sz="4" w:space="0"/>
            </w:tcBorders>
            <w:shd w:val="clear" w:color="000000" w:fill="FFFFFF"/>
            <w:noWrap w:val="0"/>
            <w:vAlign w:val="center"/>
          </w:tcPr>
          <w:p w14:paraId="36DBAF07">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标的名称</w:t>
            </w:r>
          </w:p>
        </w:tc>
        <w:tc>
          <w:tcPr>
            <w:tcW w:w="3619" w:type="pct"/>
            <w:tcBorders>
              <w:top w:val="single" w:color="auto" w:sz="4" w:space="0"/>
              <w:left w:val="nil"/>
              <w:bottom w:val="single" w:color="auto" w:sz="4" w:space="0"/>
              <w:right w:val="single" w:color="auto" w:sz="4" w:space="0"/>
            </w:tcBorders>
            <w:shd w:val="clear" w:color="000000" w:fill="FFFFFF"/>
            <w:noWrap w:val="0"/>
            <w:vAlign w:val="center"/>
          </w:tcPr>
          <w:p w14:paraId="0CF0FA16">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主要技术参数</w:t>
            </w:r>
          </w:p>
        </w:tc>
      </w:tr>
      <w:tr w14:paraId="174B78CA">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79733534">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959" w:type="pct"/>
            <w:tcBorders>
              <w:top w:val="nil"/>
              <w:left w:val="nil"/>
              <w:bottom w:val="single" w:color="auto" w:sz="4" w:space="0"/>
              <w:right w:val="single" w:color="auto" w:sz="4" w:space="0"/>
            </w:tcBorders>
            <w:shd w:val="clear" w:color="000000" w:fill="FFFFFF"/>
            <w:noWrap w:val="0"/>
            <w:vAlign w:val="center"/>
          </w:tcPr>
          <w:p w14:paraId="003969FB">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中医智能拔罐、刮痧、推拿练习模型</w:t>
            </w:r>
          </w:p>
        </w:tc>
        <w:tc>
          <w:tcPr>
            <w:tcW w:w="3619" w:type="pct"/>
            <w:tcBorders>
              <w:top w:val="nil"/>
              <w:left w:val="nil"/>
              <w:bottom w:val="single" w:color="auto" w:sz="4" w:space="0"/>
              <w:right w:val="single" w:color="auto" w:sz="4" w:space="0"/>
            </w:tcBorders>
            <w:noWrap w:val="0"/>
            <w:vAlign w:val="center"/>
          </w:tcPr>
          <w:p w14:paraId="3D679C5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高仿真背部人体模型，皮肤触感真实，柔软有弹性，可触及肩胛骨、大椎，各胸椎、腰椎的棘突等骨性标志；</w:t>
            </w:r>
          </w:p>
          <w:p w14:paraId="52509A3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可使用真实罐具进行拔罐操作，造成负压后，可明显看到皮肤高出表面，负压不够时则不能吸附于皮肤表面</w:t>
            </w:r>
            <w:r>
              <w:rPr>
                <w:rFonts w:hint="eastAsia" w:ascii="宋体" w:hAnsi="宋体" w:eastAsia="宋体" w:cs="宋体"/>
                <w:color w:val="auto"/>
                <w:kern w:val="0"/>
                <w:sz w:val="24"/>
                <w:szCs w:val="24"/>
                <w:lang w:eastAsia="zh-CN"/>
              </w:rPr>
              <w:t>；</w:t>
            </w:r>
          </w:p>
          <w:p w14:paraId="6FFEA56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在模型表面或罐口涂抹润滑剂后，可进行走罐、闪罐操作</w:t>
            </w:r>
            <w:r>
              <w:rPr>
                <w:rFonts w:hint="eastAsia" w:ascii="宋体" w:hAnsi="宋体" w:eastAsia="宋体" w:cs="宋体"/>
                <w:color w:val="auto"/>
                <w:kern w:val="0"/>
                <w:sz w:val="24"/>
                <w:szCs w:val="24"/>
                <w:lang w:eastAsia="zh-CN"/>
              </w:rPr>
              <w:t>；</w:t>
            </w:r>
          </w:p>
          <w:p w14:paraId="373B244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可用刮具、砭具等临床真实器具进行刮痧、砭术等操作，满足中医适宜技术多项技能的操作练习</w:t>
            </w:r>
            <w:r>
              <w:rPr>
                <w:rFonts w:hint="eastAsia" w:ascii="宋体" w:hAnsi="宋体" w:eastAsia="宋体" w:cs="宋体"/>
                <w:color w:val="auto"/>
                <w:kern w:val="0"/>
                <w:sz w:val="24"/>
                <w:szCs w:val="24"/>
                <w:lang w:eastAsia="zh-CN"/>
              </w:rPr>
              <w:t>；</w:t>
            </w:r>
          </w:p>
          <w:p w14:paraId="20331B2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可使用真实艾条、艾柱进行悬起灸、雀啄灸、回旋灸、隔姜灸、隔盐灸等操作</w:t>
            </w:r>
            <w:r>
              <w:rPr>
                <w:rFonts w:hint="eastAsia" w:ascii="宋体" w:hAnsi="宋体" w:eastAsia="宋体" w:cs="宋体"/>
                <w:color w:val="auto"/>
                <w:kern w:val="0"/>
                <w:sz w:val="24"/>
                <w:szCs w:val="24"/>
                <w:lang w:eastAsia="zh-CN"/>
              </w:rPr>
              <w:t>。</w:t>
            </w:r>
          </w:p>
        </w:tc>
      </w:tr>
      <w:tr w14:paraId="2A6FDDA3">
        <w:tblPrEx>
          <w:tblCellMar>
            <w:top w:w="0" w:type="dxa"/>
            <w:left w:w="108" w:type="dxa"/>
            <w:bottom w:w="0" w:type="dxa"/>
            <w:right w:w="108" w:type="dxa"/>
          </w:tblCellMar>
        </w:tblPrEx>
        <w:trPr>
          <w:trHeight w:val="993"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49D30348">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959" w:type="pct"/>
            <w:tcBorders>
              <w:top w:val="nil"/>
              <w:left w:val="nil"/>
              <w:bottom w:val="single" w:color="auto" w:sz="4" w:space="0"/>
              <w:right w:val="single" w:color="auto" w:sz="4" w:space="0"/>
            </w:tcBorders>
            <w:shd w:val="clear" w:color="000000" w:fill="FFFFFF"/>
            <w:noWrap w:val="0"/>
            <w:vAlign w:val="center"/>
          </w:tcPr>
          <w:p w14:paraId="7FD8499D">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中医舌诊模型舌苔病态变化症状模</w:t>
            </w:r>
          </w:p>
        </w:tc>
        <w:tc>
          <w:tcPr>
            <w:tcW w:w="3619" w:type="pct"/>
            <w:tcBorders>
              <w:top w:val="nil"/>
              <w:left w:val="nil"/>
              <w:bottom w:val="single" w:color="auto" w:sz="4" w:space="0"/>
              <w:right w:val="single" w:color="auto" w:sz="4" w:space="0"/>
            </w:tcBorders>
            <w:noWrap w:val="0"/>
            <w:vAlign w:val="center"/>
          </w:tcPr>
          <w:p w14:paraId="0C66756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硅胶材质</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模型展示</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30种正常舌苔及各种疾病在舌苔上的病态变化症状</w:t>
            </w:r>
            <w:r>
              <w:rPr>
                <w:rFonts w:hint="eastAsia" w:ascii="宋体" w:hAnsi="宋体" w:eastAsia="宋体" w:cs="宋体"/>
                <w:color w:val="auto"/>
                <w:kern w:val="0"/>
                <w:sz w:val="24"/>
                <w:szCs w:val="24"/>
                <w:lang w:eastAsia="zh-CN"/>
              </w:rPr>
              <w:t>。</w:t>
            </w:r>
          </w:p>
        </w:tc>
      </w:tr>
      <w:tr w14:paraId="53B07209">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4EE84C1A">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959" w:type="pct"/>
            <w:tcBorders>
              <w:top w:val="nil"/>
              <w:left w:val="nil"/>
              <w:bottom w:val="single" w:color="auto" w:sz="4" w:space="0"/>
              <w:right w:val="single" w:color="auto" w:sz="4" w:space="0"/>
            </w:tcBorders>
            <w:shd w:val="clear" w:color="000000" w:fill="FFFFFF"/>
            <w:noWrap w:val="0"/>
            <w:vAlign w:val="center"/>
          </w:tcPr>
          <w:p w14:paraId="4191CFC9">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推拿模型</w:t>
            </w:r>
          </w:p>
        </w:tc>
        <w:tc>
          <w:tcPr>
            <w:tcW w:w="3619" w:type="pct"/>
            <w:tcBorders>
              <w:top w:val="nil"/>
              <w:left w:val="nil"/>
              <w:bottom w:val="single" w:color="auto" w:sz="4" w:space="0"/>
              <w:right w:val="single" w:color="auto" w:sz="4" w:space="0"/>
            </w:tcBorders>
            <w:noWrap w:val="0"/>
            <w:vAlign w:val="center"/>
          </w:tcPr>
          <w:p w14:paraId="0559688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采用PVC材料制成，穴位采用雕刻方法制作，显示清晰、耐磨损，能帮助学习者准确找到穴位位置</w:t>
            </w:r>
            <w:r>
              <w:rPr>
                <w:rFonts w:hint="eastAsia" w:ascii="宋体" w:hAnsi="宋体" w:eastAsia="宋体" w:cs="宋体"/>
                <w:color w:val="auto"/>
                <w:kern w:val="0"/>
                <w:sz w:val="24"/>
                <w:szCs w:val="24"/>
                <w:lang w:eastAsia="zh-CN"/>
              </w:rPr>
              <w:t>。</w:t>
            </w:r>
          </w:p>
        </w:tc>
      </w:tr>
      <w:tr w14:paraId="75235FD6">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3855A88F">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959" w:type="pct"/>
            <w:tcBorders>
              <w:top w:val="nil"/>
              <w:left w:val="nil"/>
              <w:bottom w:val="single" w:color="auto" w:sz="4" w:space="0"/>
              <w:right w:val="single" w:color="auto" w:sz="4" w:space="0"/>
            </w:tcBorders>
            <w:shd w:val="clear" w:color="000000" w:fill="FFFFFF"/>
            <w:noWrap w:val="0"/>
            <w:vAlign w:val="center"/>
          </w:tcPr>
          <w:p w14:paraId="7B7AC477">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全功能中医模拟训练模型</w:t>
            </w:r>
          </w:p>
        </w:tc>
        <w:tc>
          <w:tcPr>
            <w:tcW w:w="3619" w:type="pct"/>
            <w:tcBorders>
              <w:top w:val="nil"/>
              <w:left w:val="nil"/>
              <w:bottom w:val="single" w:color="auto" w:sz="4" w:space="0"/>
              <w:right w:val="single" w:color="auto" w:sz="4" w:space="0"/>
            </w:tcBorders>
            <w:noWrap w:val="0"/>
            <w:vAlign w:val="center"/>
          </w:tcPr>
          <w:p w14:paraId="3AB5CBE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全身仿真皮肤触之柔软、手感逼真</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督脉任脉</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53穴位，常用经外奇穴</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38个</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可进行全身各种穴位艾灸：艾柱灸包括直接灸、间接灸（隔姜灸、隔盐灸、隔蒜灸）及艾条灸的训练及考核</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可涂抹刮痧油用刮痧板按经络循行方向进行中医刮痧技能训练和考核</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模型材料耐火耐高温，可开展中医拔罐技能训练，可用真实罐具进行拔罐的考核操作。拔罐时模拟皮肤表面可被负压吸入罐中。不仅可使用无火真空拔罐器具进行负压拔罐，并可使用火罐进行闪罐、走罐、针罐操作并有真实的吸附</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可进行中医各种推拿技能训练的实际操作和考核如：推法、拿法、运法、柔法、按法、摩法等。</w:t>
            </w:r>
          </w:p>
        </w:tc>
      </w:tr>
      <w:tr w14:paraId="4BCBA8CD">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0B01FF30">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959" w:type="pct"/>
            <w:tcBorders>
              <w:top w:val="nil"/>
              <w:left w:val="nil"/>
              <w:bottom w:val="single" w:color="auto" w:sz="4" w:space="0"/>
              <w:right w:val="single" w:color="auto" w:sz="4" w:space="0"/>
            </w:tcBorders>
            <w:shd w:val="clear" w:color="000000" w:fill="FFFFFF"/>
            <w:noWrap w:val="0"/>
            <w:vAlign w:val="center"/>
          </w:tcPr>
          <w:p w14:paraId="2CAF6E64">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脉象训练仪</w:t>
            </w:r>
          </w:p>
        </w:tc>
        <w:tc>
          <w:tcPr>
            <w:tcW w:w="3619" w:type="pct"/>
            <w:tcBorders>
              <w:top w:val="nil"/>
              <w:left w:val="nil"/>
              <w:bottom w:val="single" w:color="auto" w:sz="4" w:space="0"/>
              <w:right w:val="single" w:color="auto" w:sz="4" w:space="0"/>
            </w:tcBorders>
            <w:noWrap w:val="0"/>
            <w:vAlign w:val="center"/>
          </w:tcPr>
          <w:p w14:paraId="357818AF">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模拟人体常见脉象</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2、集浮取、中取、沉取三种于一身</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3、可调整并存储所有脉象的脉幅(</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8个等级)和脉压（</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256等级）值</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4、一条仿真手臂可以自动输出</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28种脉象</w:t>
            </w:r>
            <w:r>
              <w:rPr>
                <w:rFonts w:hint="eastAsia" w:ascii="宋体" w:hAnsi="宋体" w:eastAsia="宋体" w:cs="宋体"/>
                <w:color w:val="auto"/>
                <w:kern w:val="0"/>
                <w:sz w:val="24"/>
                <w:szCs w:val="24"/>
                <w:lang w:eastAsia="zh-CN"/>
              </w:rPr>
              <w:t>；</w:t>
            </w:r>
          </w:p>
          <w:p w14:paraId="24B4CCD9">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5、具有寸关尺不少于3个诊脉部位，触诊时寸、关、尺自动识别支持指示灯显示。液晶屏幕实时显示脉图，屏幕上的脉搏波与脉象完全同步，全按键选择设置，操作界面友好。</w:t>
            </w:r>
          </w:p>
        </w:tc>
      </w:tr>
      <w:tr w14:paraId="263953B8">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2EDE545E">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959" w:type="pct"/>
            <w:tcBorders>
              <w:top w:val="nil"/>
              <w:left w:val="nil"/>
              <w:bottom w:val="single" w:color="auto" w:sz="4" w:space="0"/>
              <w:right w:val="single" w:color="auto" w:sz="4" w:space="0"/>
            </w:tcBorders>
            <w:shd w:val="clear" w:color="000000" w:fill="FFFFFF"/>
            <w:noWrap w:val="0"/>
            <w:vAlign w:val="center"/>
          </w:tcPr>
          <w:p w14:paraId="794C3B4E">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中医推拿床配套组件</w:t>
            </w:r>
          </w:p>
        </w:tc>
        <w:tc>
          <w:tcPr>
            <w:tcW w:w="3619" w:type="pct"/>
            <w:tcBorders>
              <w:top w:val="nil"/>
              <w:left w:val="nil"/>
              <w:bottom w:val="single" w:color="auto" w:sz="4" w:space="0"/>
              <w:right w:val="single" w:color="auto" w:sz="4" w:space="0"/>
            </w:tcBorders>
            <w:noWrap w:val="0"/>
            <w:vAlign w:val="center"/>
          </w:tcPr>
          <w:p w14:paraId="0A55D26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推拿床</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1张</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w:t>
            </w:r>
          </w:p>
          <w:p w14:paraId="1E7EF16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尺寸：</w:t>
            </w:r>
            <w:r>
              <w:rPr>
                <w:rFonts w:hint="eastAsia" w:ascii="宋体" w:hAnsi="宋体" w:eastAsia="宋体" w:cs="宋体"/>
                <w:color w:val="auto"/>
                <w:kern w:val="0"/>
                <w:sz w:val="24"/>
                <w:szCs w:val="24"/>
                <w:lang w:val="en-US" w:eastAsia="zh-CN"/>
              </w:rPr>
              <w:t>长宽高≥</w:t>
            </w:r>
            <w:r>
              <w:rPr>
                <w:rFonts w:hint="eastAsia" w:ascii="宋体" w:hAnsi="宋体" w:eastAsia="宋体" w:cs="宋体"/>
                <w:color w:val="auto"/>
                <w:kern w:val="0"/>
                <w:sz w:val="24"/>
                <w:szCs w:val="24"/>
              </w:rPr>
              <w:t>190cm*70cm*65cm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材质：钢架材质</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皮革床面</w:t>
            </w:r>
          </w:p>
          <w:p w14:paraId="500E71A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操作凳（</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张）：</w:t>
            </w:r>
          </w:p>
          <w:p w14:paraId="76F6298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凳面颜色：</w:t>
            </w:r>
            <w:r>
              <w:rPr>
                <w:rFonts w:hint="eastAsia" w:ascii="宋体" w:hAnsi="宋体" w:eastAsia="宋体" w:cs="宋体"/>
                <w:color w:val="auto"/>
                <w:kern w:val="0"/>
                <w:sz w:val="24"/>
                <w:szCs w:val="24"/>
                <w:lang w:val="en-US" w:eastAsia="zh-CN"/>
              </w:rPr>
              <w:t>统一</w:t>
            </w:r>
          </w:p>
          <w:p w14:paraId="7101471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凳面材质：硬质厚皮革，防刮耐磨防水PU皮</w:t>
            </w:r>
            <w:r>
              <w:rPr>
                <w:rFonts w:hint="eastAsia" w:ascii="宋体" w:hAnsi="宋体" w:eastAsia="宋体" w:cs="宋体"/>
                <w:color w:val="auto"/>
                <w:kern w:val="0"/>
                <w:sz w:val="24"/>
                <w:szCs w:val="24"/>
                <w:lang w:eastAsia="zh-CN"/>
              </w:rPr>
              <w:t>；</w:t>
            </w:r>
          </w:p>
          <w:p w14:paraId="0CE59FD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脚垫样式：叉马蹄钉款(不可拆卸)</w:t>
            </w:r>
            <w:r>
              <w:rPr>
                <w:rFonts w:hint="eastAsia" w:ascii="宋体" w:hAnsi="宋体" w:eastAsia="宋体" w:cs="宋体"/>
                <w:color w:val="auto"/>
                <w:kern w:val="0"/>
                <w:sz w:val="24"/>
                <w:szCs w:val="24"/>
                <w:lang w:eastAsia="zh-CN"/>
              </w:rPr>
              <w:t>；</w:t>
            </w:r>
          </w:p>
          <w:p w14:paraId="1773ACD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钢管配件：钢管电镀，钢管及配件壁厚</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1.2mm</w:t>
            </w:r>
            <w:r>
              <w:rPr>
                <w:rFonts w:hint="eastAsia" w:ascii="宋体" w:hAnsi="宋体" w:eastAsia="宋体" w:cs="宋体"/>
                <w:color w:val="auto"/>
                <w:kern w:val="0"/>
                <w:sz w:val="24"/>
                <w:szCs w:val="24"/>
                <w:lang w:eastAsia="zh-CN"/>
              </w:rPr>
              <w:t>；</w:t>
            </w:r>
          </w:p>
          <w:p w14:paraId="06328E5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高度：防爆气压杆，至少3档调节调节，41cm-51cm</w:t>
            </w:r>
            <w:r>
              <w:rPr>
                <w:rFonts w:hint="eastAsia" w:ascii="宋体" w:hAnsi="宋体" w:eastAsia="宋体" w:cs="宋体"/>
                <w:color w:val="auto"/>
                <w:kern w:val="0"/>
                <w:sz w:val="24"/>
                <w:szCs w:val="24"/>
                <w:lang w:eastAsia="zh-CN"/>
              </w:rPr>
              <w:t>。</w:t>
            </w:r>
          </w:p>
        </w:tc>
      </w:tr>
      <w:tr w14:paraId="0173F114">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676E3B7B">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959" w:type="pct"/>
            <w:tcBorders>
              <w:top w:val="nil"/>
              <w:left w:val="nil"/>
              <w:bottom w:val="single" w:color="auto" w:sz="4" w:space="0"/>
              <w:right w:val="single" w:color="auto" w:sz="4" w:space="0"/>
            </w:tcBorders>
            <w:shd w:val="clear" w:color="000000" w:fill="FFFFFF"/>
            <w:noWrap w:val="0"/>
            <w:vAlign w:val="center"/>
          </w:tcPr>
          <w:p w14:paraId="37B9BE2C">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仿古穴位铜人</w:t>
            </w:r>
          </w:p>
        </w:tc>
        <w:tc>
          <w:tcPr>
            <w:tcW w:w="3619" w:type="pct"/>
            <w:tcBorders>
              <w:top w:val="nil"/>
              <w:left w:val="nil"/>
              <w:bottom w:val="single" w:color="auto" w:sz="4" w:space="0"/>
              <w:right w:val="single" w:color="auto" w:sz="4" w:space="0"/>
            </w:tcBorders>
            <w:noWrap w:val="0"/>
            <w:vAlign w:val="center"/>
          </w:tcPr>
          <w:p w14:paraId="32DBA72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用PVC制成</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带底座</w:t>
            </w:r>
            <w:r>
              <w:rPr>
                <w:rFonts w:hint="eastAsia" w:ascii="宋体" w:hAnsi="宋体" w:eastAsia="宋体" w:cs="宋体"/>
                <w:color w:val="auto"/>
                <w:kern w:val="0"/>
                <w:sz w:val="24"/>
                <w:szCs w:val="24"/>
              </w:rPr>
              <w:t>。尺寸：</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178CM高，详细地标明了</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14条主要经络线，身体右侧是</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361个经穴和</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48个经外穴以及骨度线，即用“寸”来方便地测量针灸点之间的距离。身体左侧是皮下组织，显示神经系统分布、动静脉、血管和肌肉构造，标明主要经络线上没有标明的手足部的经外穴。适用于中医针灸和推拿等教学。</w:t>
            </w:r>
          </w:p>
        </w:tc>
      </w:tr>
      <w:tr w14:paraId="6099828A">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65C76C02">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w:t>
            </w:r>
          </w:p>
        </w:tc>
        <w:tc>
          <w:tcPr>
            <w:tcW w:w="959" w:type="pct"/>
            <w:tcBorders>
              <w:top w:val="nil"/>
              <w:left w:val="nil"/>
              <w:bottom w:val="single" w:color="auto" w:sz="4" w:space="0"/>
              <w:right w:val="single" w:color="auto" w:sz="4" w:space="0"/>
            </w:tcBorders>
            <w:shd w:val="clear" w:color="000000" w:fill="FFFFFF"/>
            <w:noWrap w:val="0"/>
            <w:vAlign w:val="center"/>
          </w:tcPr>
          <w:p w14:paraId="56221702">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中医舌象智能辅助诊断系统（教学版）</w:t>
            </w:r>
          </w:p>
        </w:tc>
        <w:tc>
          <w:tcPr>
            <w:tcW w:w="3619" w:type="pct"/>
            <w:tcBorders>
              <w:top w:val="nil"/>
              <w:left w:val="nil"/>
              <w:bottom w:val="single" w:color="auto" w:sz="4" w:space="0"/>
              <w:right w:val="single" w:color="auto" w:sz="4" w:space="0"/>
            </w:tcBorders>
            <w:noWrap w:val="0"/>
            <w:vAlign w:val="center"/>
          </w:tcPr>
          <w:p w14:paraId="1451E81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交互式理论学习中心：内置3D舌象解剖模型、病理动态演示及名医经验视频，让抽象理论直观可感。配套交互式教学内容，边学边练强化记忆</w:t>
            </w:r>
            <w:r>
              <w:rPr>
                <w:rFonts w:hint="eastAsia" w:ascii="宋体" w:hAnsi="宋体" w:eastAsia="宋体" w:cs="宋体"/>
                <w:color w:val="auto"/>
                <w:kern w:val="0"/>
                <w:sz w:val="24"/>
                <w:szCs w:val="24"/>
                <w:lang w:eastAsia="zh-CN"/>
              </w:rPr>
              <w:t>；</w:t>
            </w:r>
          </w:p>
          <w:p w14:paraId="0ACE977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模拟诊断实验室：提供虚拟舌象生成器，学生可自定义病理特征（如裂纹舌、黄腻苔），系统引导分步操作：从舌体分割、颜色校准到特征关联，实时验证诊断思路，避免“只看表象，忽略整体”</w:t>
            </w:r>
            <w:r>
              <w:rPr>
                <w:rFonts w:hint="eastAsia" w:ascii="宋体" w:hAnsi="宋体" w:eastAsia="宋体" w:cs="宋体"/>
                <w:color w:val="auto"/>
                <w:kern w:val="0"/>
                <w:sz w:val="24"/>
                <w:szCs w:val="24"/>
                <w:lang w:eastAsia="zh-CN"/>
              </w:rPr>
              <w:t>；</w:t>
            </w:r>
          </w:p>
          <w:p w14:paraId="3BB91DB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460" w:lineRule="exact"/>
              <w:ind w:left="0" w:leftChars="0" w:right="0" w:rightChars="0" w:firstLine="0" w:firstLineChars="0"/>
              <w:jc w:val="both"/>
              <w:textAlignment w:val="auto"/>
              <w:outlineLvl w:val="9"/>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智能考核与个性化反馈：题库涵盖选择题、操作题及综合案例分析，</w:t>
            </w:r>
            <w:r>
              <w:rPr>
                <w:rFonts w:hint="eastAsia" w:ascii="宋体" w:hAnsi="宋体" w:eastAsia="宋体" w:cs="宋体"/>
                <w:color w:val="auto"/>
                <w:kern w:val="0"/>
                <w:sz w:val="24"/>
                <w:szCs w:val="24"/>
                <w:highlight w:val="none"/>
              </w:rPr>
              <w:t>AI自动评分引擎从舌体分割准确率、特征提取完整度到辨证逻辑，多维度生成能力画像。教师可通过仪表盘追踪班级错题热点，精准教学</w:t>
            </w:r>
            <w:r>
              <w:rPr>
                <w:rFonts w:hint="eastAsia" w:ascii="宋体" w:hAnsi="宋体" w:eastAsia="宋体" w:cs="宋体"/>
                <w:color w:val="auto"/>
                <w:kern w:val="0"/>
                <w:sz w:val="24"/>
                <w:szCs w:val="24"/>
                <w:highlight w:val="none"/>
                <w:lang w:eastAsia="zh-CN"/>
              </w:rPr>
              <w:t>；</w:t>
            </w:r>
            <w:r>
              <w:rPr>
                <w:rFonts w:hint="eastAsia" w:ascii="宋体" w:hAnsi="宋体" w:eastAsia="宋体" w:cs="宋体"/>
                <w:b/>
                <w:bCs/>
                <w:color w:val="C00000"/>
                <w:kern w:val="0"/>
                <w:sz w:val="24"/>
                <w:szCs w:val="24"/>
                <w:highlight w:val="none"/>
                <w:lang w:val="en-US" w:eastAsia="zh-CN"/>
              </w:rPr>
              <w:t>（注：本项须提供功能演示视频，投标人需将各项功能模块演示及讲解佐证要点录制视频，视频画面完整清晰。演示内容以mp4、rmvb、mkv格式（建议同时备份几个不同格式的）存储于U盘中递交，演示总时长不超过15分钟，未提供演示或演示内容不满足上述技术要求的视为无效响应。评审现场不支持外网，演示U盘可通过邮寄或现场递交等方式在开标时间前递交至采购代理机构，U盘需密封包装，包装封面须标注投标人名称并加盖投标人公章，逾期不予接收，如因快递、U盘损坏、视频格式等问题导致评审期间无法正常解码播放的，视为演示不成功，响应无效）</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教师专属管理平台：学习分析仪表盘可视化学生能力雷达图，辅助教师挖掘教学薄弱点</w:t>
            </w:r>
            <w:r>
              <w:rPr>
                <w:rFonts w:hint="eastAsia" w:ascii="宋体" w:hAnsi="宋体" w:eastAsia="宋体" w:cs="宋体"/>
                <w:color w:val="auto"/>
                <w:kern w:val="0"/>
                <w:sz w:val="24"/>
                <w:szCs w:val="24"/>
                <w:lang w:eastAsia="zh-CN"/>
              </w:rPr>
              <w:t>；</w:t>
            </w:r>
          </w:p>
          <w:p w14:paraId="282C676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台车</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1台</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：高精度舌象采集模块，配备环形补光灯，确保舌象采集稳定性。交互式触摸屏支持多点触控与手势操作，实时响应虚拟舌象生成器、分步诊断引导等教学操作</w:t>
            </w:r>
            <w:r>
              <w:rPr>
                <w:rFonts w:hint="eastAsia" w:ascii="宋体" w:hAnsi="宋体" w:eastAsia="宋体" w:cs="宋体"/>
                <w:color w:val="auto"/>
                <w:kern w:val="0"/>
                <w:sz w:val="24"/>
                <w:szCs w:val="24"/>
                <w:lang w:eastAsia="zh-CN"/>
              </w:rPr>
              <w:t>；</w:t>
            </w:r>
          </w:p>
          <w:p w14:paraId="4133070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highlight w:val="none"/>
              </w:rPr>
              <w:t>无线投屏模块：支持教师端向学生机同步投屏课堂实操演示。</w:t>
            </w:r>
            <w:r>
              <w:rPr>
                <w:rFonts w:hint="eastAsia" w:ascii="宋体" w:hAnsi="宋体" w:eastAsia="宋体" w:cs="宋体"/>
                <w:b/>
                <w:bCs/>
                <w:color w:val="C00000"/>
                <w:kern w:val="0"/>
                <w:sz w:val="24"/>
                <w:szCs w:val="24"/>
                <w:highlight w:val="none"/>
                <w:lang w:val="en-US" w:eastAsia="zh-CN"/>
              </w:rPr>
              <w:t>（注：本项须提供功能演示视频，投标人需将各项功能模块演示及讲解佐证要点录制视频，视频画面完整清晰。演示内容以mp4、rmvb、mkv格式（建议同时备份几个不同格式的）存储于U盘中递交，演示总时长不超过15分钟，未提供演示或演示内容不满足上述技术要求的视为无效响应。评审现场不支持外网，演示U盘可通过邮寄或现场递交等方式在开标时间前递交至采购代理机构，U盘需密封包装，包装封面须标注投标人名称并加盖投标人公章，逾期不予接收，如因快递、U盘损坏、视频格式等问题导致评审期间无法正常解码播放的，视为演示不成功，响应无效）</w:t>
            </w:r>
          </w:p>
        </w:tc>
      </w:tr>
      <w:tr w14:paraId="47073DDE">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24A35736">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w:t>
            </w:r>
          </w:p>
        </w:tc>
        <w:tc>
          <w:tcPr>
            <w:tcW w:w="959" w:type="pct"/>
            <w:tcBorders>
              <w:top w:val="nil"/>
              <w:left w:val="nil"/>
              <w:bottom w:val="single" w:color="auto" w:sz="4" w:space="0"/>
              <w:right w:val="single" w:color="auto" w:sz="4" w:space="0"/>
            </w:tcBorders>
            <w:shd w:val="clear" w:color="000000" w:fill="FFFFFF"/>
            <w:noWrap w:val="0"/>
            <w:vAlign w:val="center"/>
          </w:tcPr>
          <w:p w14:paraId="1A7447DF">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临床技能训练移动示教车教学系统</w:t>
            </w:r>
          </w:p>
        </w:tc>
        <w:tc>
          <w:tcPr>
            <w:tcW w:w="3619" w:type="pct"/>
            <w:tcBorders>
              <w:top w:val="nil"/>
              <w:left w:val="nil"/>
              <w:bottom w:val="single" w:color="auto" w:sz="4" w:space="0"/>
              <w:right w:val="single" w:color="auto" w:sz="4" w:space="0"/>
            </w:tcBorders>
            <w:noWrap w:val="0"/>
            <w:vAlign w:val="center"/>
          </w:tcPr>
          <w:p w14:paraId="162DF57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教师机1套：</w:t>
            </w:r>
          </w:p>
          <w:p w14:paraId="11C00CE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主机</w:t>
            </w:r>
          </w:p>
          <w:p w14:paraId="33D4C8A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1.一体化主机，</w:t>
            </w:r>
            <w:r>
              <w:rPr>
                <w:rFonts w:hint="eastAsia" w:ascii="宋体" w:hAnsi="宋体" w:eastAsia="宋体" w:cs="宋体"/>
                <w:color w:val="auto"/>
                <w:kern w:val="0"/>
                <w:sz w:val="24"/>
                <w:szCs w:val="24"/>
                <w:lang w:val="en-US" w:eastAsia="zh-CN"/>
              </w:rPr>
              <w:t>长时间</w:t>
            </w:r>
            <w:r>
              <w:rPr>
                <w:rFonts w:hint="eastAsia" w:ascii="宋体" w:hAnsi="宋体" w:eastAsia="宋体" w:cs="宋体"/>
                <w:color w:val="auto"/>
                <w:kern w:val="0"/>
                <w:sz w:val="24"/>
                <w:szCs w:val="24"/>
              </w:rPr>
              <w:t>稳定运行；M2固态硬盘≥1TB；≥1×USB接口、≥1×HDMI接口、≥1×RJ45接口；支持U盘复制录制的示教视频</w:t>
            </w:r>
            <w:r>
              <w:rPr>
                <w:rFonts w:hint="eastAsia" w:ascii="宋体" w:hAnsi="宋体" w:eastAsia="宋体" w:cs="宋体"/>
                <w:color w:val="auto"/>
                <w:kern w:val="0"/>
                <w:sz w:val="24"/>
                <w:szCs w:val="24"/>
                <w:lang w:eastAsia="zh-CN"/>
              </w:rPr>
              <w:t>；</w:t>
            </w:r>
          </w:p>
          <w:p w14:paraId="60DE4996">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2.音频设备：≥1个高灵敏度麦克风，实时采集示教讲解声音</w:t>
            </w:r>
            <w:r>
              <w:rPr>
                <w:rFonts w:hint="eastAsia" w:ascii="宋体" w:hAnsi="宋体" w:eastAsia="宋体" w:cs="宋体"/>
                <w:color w:val="auto"/>
                <w:kern w:val="0"/>
                <w:sz w:val="24"/>
                <w:szCs w:val="24"/>
                <w:lang w:eastAsia="zh-CN"/>
              </w:rPr>
              <w:t>；</w:t>
            </w:r>
          </w:p>
          <w:p w14:paraId="3E9D39C9">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i w:val="0"/>
                <w:iCs w:val="0"/>
                <w:caps w:val="0"/>
                <w:color w:val="auto"/>
                <w:spacing w:val="0"/>
                <w:sz w:val="24"/>
                <w:szCs w:val="24"/>
                <w:shd w:val="clear" w:color="auto" w:fill="FFFFFF"/>
              </w:rPr>
              <w:t>配备教师用无线领夹式麦克风1套。支持UHF频段，有效传输距离≥30米（视距）</w:t>
            </w:r>
            <w:r>
              <w:rPr>
                <w:rFonts w:hint="eastAsia" w:ascii="宋体" w:hAnsi="宋体" w:eastAsia="宋体" w:cs="宋体"/>
                <w:i w:val="0"/>
                <w:iCs w:val="0"/>
                <w:caps w:val="0"/>
                <w:color w:val="auto"/>
                <w:spacing w:val="0"/>
                <w:sz w:val="24"/>
                <w:szCs w:val="24"/>
                <w:shd w:val="clear" w:color="auto" w:fill="FFFFFF"/>
                <w:lang w:eastAsia="zh-CN"/>
              </w:rPr>
              <w:t>。</w:t>
            </w:r>
          </w:p>
          <w:p w14:paraId="06B3FC8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二</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显示器</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1个</w:t>
            </w:r>
            <w:r>
              <w:rPr>
                <w:rFonts w:hint="eastAsia" w:ascii="宋体" w:hAnsi="宋体" w:eastAsia="宋体" w:cs="宋体"/>
                <w:color w:val="auto"/>
                <w:kern w:val="0"/>
                <w:sz w:val="24"/>
                <w:szCs w:val="24"/>
                <w:lang w:eastAsia="zh-CN"/>
              </w:rPr>
              <w:t>）</w:t>
            </w:r>
          </w:p>
          <w:p w14:paraId="04BB9F0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1.≥23.8英寸16:9 IPS屏，分辨率≥1920×1080，刷新率≥60Hz；</w:t>
            </w:r>
          </w:p>
          <w:p w14:paraId="7E1C65F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2.投射电容式</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10点触控，内置</w:t>
            </w:r>
            <w:r>
              <w:rPr>
                <w:rFonts w:hint="eastAsia" w:ascii="宋体" w:hAnsi="宋体" w:eastAsia="宋体" w:cs="宋体"/>
                <w:color w:val="auto"/>
                <w:kern w:val="0"/>
                <w:sz w:val="24"/>
                <w:szCs w:val="24"/>
                <w:lang w:val="en-US" w:eastAsia="zh-CN"/>
              </w:rPr>
              <w:t>至少</w:t>
            </w:r>
            <w:r>
              <w:rPr>
                <w:rFonts w:hint="eastAsia" w:ascii="宋体" w:hAnsi="宋体" w:eastAsia="宋体" w:cs="宋体"/>
                <w:color w:val="auto"/>
                <w:kern w:val="0"/>
                <w:sz w:val="24"/>
                <w:szCs w:val="24"/>
              </w:rPr>
              <w:t>双2W立体扬声器，画面显示延时</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1秒</w:t>
            </w:r>
            <w:r>
              <w:rPr>
                <w:rFonts w:hint="eastAsia" w:ascii="宋体" w:hAnsi="宋体" w:eastAsia="宋体" w:cs="宋体"/>
                <w:color w:val="auto"/>
                <w:kern w:val="0"/>
                <w:sz w:val="24"/>
                <w:szCs w:val="24"/>
                <w:lang w:eastAsia="zh-CN"/>
              </w:rPr>
              <w:t>。</w:t>
            </w:r>
          </w:p>
          <w:p w14:paraId="167B200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三</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高清云台摄像机1台</w:t>
            </w:r>
          </w:p>
          <w:p w14:paraId="766D614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1.与推车一体化集成，≥1/2.8英寸传感器，总像素≥207万；输出≥1920×1080</w:t>
            </w:r>
            <w:r>
              <w:rPr>
                <w:rFonts w:hint="eastAsia" w:ascii="宋体" w:hAnsi="宋体" w:eastAsia="宋体" w:cs="宋体"/>
                <w:color w:val="auto"/>
                <w:kern w:val="0"/>
                <w:sz w:val="24"/>
                <w:szCs w:val="24"/>
                <w:lang w:eastAsia="zh-CN"/>
              </w:rPr>
              <w:t>，</w:t>
            </w:r>
            <w:r>
              <w:rPr>
                <w:rFonts w:hint="eastAsia" w:ascii="宋体" w:hAnsi="宋体" w:eastAsia="宋体" w:cs="宋体"/>
                <w:i w:val="0"/>
                <w:iCs w:val="0"/>
                <w:caps w:val="0"/>
                <w:color w:val="auto"/>
                <w:spacing w:val="0"/>
                <w:sz w:val="24"/>
                <w:szCs w:val="24"/>
                <w:shd w:val="clear" w:color="auto" w:fill="FFFFFF"/>
              </w:rPr>
              <w:t>帧率≥</w:t>
            </w:r>
            <w:r>
              <w:rPr>
                <w:rFonts w:hint="eastAsia" w:ascii="宋体" w:hAnsi="宋体" w:eastAsia="宋体" w:cs="宋体"/>
                <w:color w:val="auto"/>
                <w:kern w:val="0"/>
                <w:sz w:val="24"/>
                <w:szCs w:val="24"/>
              </w:rPr>
              <w:t>60fps；</w:t>
            </w:r>
          </w:p>
          <w:p w14:paraId="544ED8B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 xml:space="preserve">2.≥12倍光学变焦，≥10倍数字变焦 </w:t>
            </w:r>
            <w:r>
              <w:rPr>
                <w:rFonts w:hint="eastAsia" w:ascii="宋体" w:hAnsi="宋体" w:eastAsia="宋体" w:cs="宋体"/>
                <w:color w:val="auto"/>
                <w:kern w:val="0"/>
                <w:sz w:val="24"/>
                <w:szCs w:val="24"/>
                <w:lang w:eastAsia="zh-CN"/>
              </w:rPr>
              <w:t>；</w:t>
            </w:r>
          </w:p>
          <w:p w14:paraId="28BB0AF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3.支持自动白平衡、自动曝光、自动聚焦；</w:t>
            </w:r>
          </w:p>
          <w:p w14:paraId="115E538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4.信噪比≥50dB，具备2D/3D数字降噪功能。</w:t>
            </w:r>
          </w:p>
          <w:p w14:paraId="0C8C13A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四</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高清特写摄像机2台</w:t>
            </w:r>
          </w:p>
          <w:p w14:paraId="3A10F3F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1.与支臂一体化集成，≥1/2.</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 xml:space="preserve"> CMOS，</w:t>
            </w:r>
            <w:r>
              <w:rPr>
                <w:rFonts w:hint="eastAsia" w:ascii="宋体" w:hAnsi="宋体" w:eastAsia="宋体" w:cs="宋体"/>
                <w:color w:val="auto"/>
                <w:kern w:val="0"/>
                <w:sz w:val="24"/>
                <w:szCs w:val="24"/>
                <w:lang w:val="en-US" w:eastAsia="zh-CN"/>
              </w:rPr>
              <w:t>效像素≥828万，输出分辨率≥4K（3840×2160），帧率支持25/30fps</w:t>
            </w:r>
            <w:r>
              <w:rPr>
                <w:rFonts w:hint="eastAsia" w:ascii="宋体" w:hAnsi="宋体" w:eastAsia="宋体" w:cs="宋体"/>
                <w:color w:val="auto"/>
                <w:kern w:val="0"/>
                <w:sz w:val="24"/>
                <w:szCs w:val="24"/>
              </w:rPr>
              <w:t>；</w:t>
            </w:r>
          </w:p>
          <w:p w14:paraId="0E2A1239">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2.≥10倍光学变倍，</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5倍数字变焦；自动聚焦+手动按键变焦；HDMI+网络接口，RJ45(10M-100M</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。信噪比≥50dB，具备2D/3D数字降噪功能</w:t>
            </w:r>
            <w:r>
              <w:rPr>
                <w:rFonts w:hint="eastAsia" w:ascii="宋体" w:hAnsi="宋体" w:eastAsia="宋体" w:cs="宋体"/>
                <w:color w:val="auto"/>
                <w:kern w:val="0"/>
                <w:sz w:val="24"/>
                <w:szCs w:val="24"/>
                <w:lang w:eastAsia="zh-CN"/>
              </w:rPr>
              <w:t>。</w:t>
            </w:r>
          </w:p>
          <w:p w14:paraId="32E723B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五</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移动推车</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1台</w:t>
            </w:r>
            <w:r>
              <w:rPr>
                <w:rFonts w:hint="eastAsia" w:ascii="宋体" w:hAnsi="宋体" w:eastAsia="宋体" w:cs="宋体"/>
                <w:color w:val="auto"/>
                <w:kern w:val="0"/>
                <w:sz w:val="24"/>
                <w:szCs w:val="24"/>
                <w:lang w:eastAsia="zh-CN"/>
              </w:rPr>
              <w:t>）</w:t>
            </w:r>
          </w:p>
          <w:p w14:paraId="26F970C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0D0D0D"/>
                <w:kern w:val="0"/>
                <w:sz w:val="24"/>
                <w:szCs w:val="24"/>
                <w:highlight w:val="none"/>
                <w:lang w:eastAsia="zh-CN"/>
              </w:rPr>
            </w:pPr>
            <w:r>
              <w:rPr>
                <w:rFonts w:hint="eastAsia" w:ascii="宋体" w:hAnsi="宋体" w:eastAsia="宋体" w:cs="宋体"/>
                <w:color w:val="auto"/>
                <w:kern w:val="0"/>
                <w:sz w:val="24"/>
                <w:szCs w:val="24"/>
                <w:highlight w:val="none"/>
              </w:rPr>
              <w:t>1.车体：铝合金+ABS工程塑料，哑光喷塑，防滑易清洁；模具成型工作台面</w:t>
            </w:r>
            <w:r>
              <w:rPr>
                <w:rFonts w:hint="eastAsia" w:ascii="宋体" w:hAnsi="宋体" w:eastAsia="宋体" w:cs="宋体"/>
                <w:color w:val="0D0D0D"/>
                <w:kern w:val="0"/>
                <w:sz w:val="24"/>
                <w:szCs w:val="24"/>
                <w:highlight w:val="none"/>
              </w:rPr>
              <w:t>，工作台面有效置物尺寸约59cm*39cm，台面</w:t>
            </w:r>
            <w:r>
              <w:rPr>
                <w:rFonts w:hint="eastAsia" w:ascii="宋体" w:hAnsi="宋体" w:eastAsia="宋体" w:cs="宋体"/>
                <w:color w:val="0D0D0D"/>
                <w:kern w:val="0"/>
                <w:sz w:val="24"/>
                <w:szCs w:val="24"/>
                <w:highlight w:val="none"/>
                <w:lang w:val="en-US" w:eastAsia="zh-CN"/>
              </w:rPr>
              <w:t>承</w:t>
            </w:r>
            <w:r>
              <w:rPr>
                <w:rFonts w:hint="eastAsia" w:ascii="宋体" w:hAnsi="宋体" w:eastAsia="宋体" w:cs="宋体"/>
                <w:color w:val="0D0D0D"/>
                <w:kern w:val="0"/>
                <w:sz w:val="24"/>
                <w:szCs w:val="24"/>
                <w:highlight w:val="none"/>
              </w:rPr>
              <w:t>重≥20公斤，可前置拉手</w:t>
            </w:r>
            <w:r>
              <w:rPr>
                <w:rFonts w:hint="eastAsia" w:ascii="宋体" w:hAnsi="宋体" w:eastAsia="宋体" w:cs="宋体"/>
                <w:color w:val="0D0D0D"/>
                <w:kern w:val="0"/>
                <w:sz w:val="24"/>
                <w:szCs w:val="24"/>
                <w:highlight w:val="none"/>
                <w:lang w:eastAsia="zh-CN"/>
              </w:rPr>
              <w:t>；</w:t>
            </w:r>
          </w:p>
          <w:p w14:paraId="3DFFF45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highlight w:val="none"/>
                <w:lang w:eastAsia="zh-CN"/>
              </w:rPr>
            </w:pPr>
            <w:r>
              <w:rPr>
                <w:rFonts w:hint="eastAsia" w:ascii="宋体" w:hAnsi="宋体" w:eastAsia="宋体" w:cs="宋体"/>
                <w:color w:val="0D0D0D"/>
                <w:kern w:val="0"/>
                <w:sz w:val="24"/>
                <w:szCs w:val="24"/>
                <w:highlight w:val="none"/>
              </w:rPr>
              <w:t>2.悬停长支臂</w:t>
            </w:r>
            <w:r>
              <w:rPr>
                <w:rFonts w:hint="eastAsia" w:ascii="宋体" w:hAnsi="宋体" w:eastAsia="宋体" w:cs="宋体"/>
                <w:color w:val="0D0D0D"/>
                <w:kern w:val="0"/>
                <w:sz w:val="24"/>
                <w:szCs w:val="24"/>
                <w:highlight w:val="none"/>
                <w:lang w:eastAsia="zh-CN"/>
              </w:rPr>
              <w:t>（</w:t>
            </w:r>
            <w:r>
              <w:rPr>
                <w:rFonts w:hint="eastAsia" w:ascii="宋体" w:hAnsi="宋体" w:eastAsia="宋体" w:cs="宋体"/>
                <w:color w:val="0D0D0D"/>
                <w:kern w:val="0"/>
                <w:sz w:val="24"/>
                <w:szCs w:val="24"/>
                <w:highlight w:val="none"/>
                <w:lang w:val="en-US" w:eastAsia="zh-CN"/>
              </w:rPr>
              <w:t>2个</w:t>
            </w:r>
            <w:r>
              <w:rPr>
                <w:rFonts w:hint="eastAsia" w:ascii="宋体" w:hAnsi="宋体" w:eastAsia="宋体" w:cs="宋体"/>
                <w:color w:val="0D0D0D"/>
                <w:kern w:val="0"/>
                <w:sz w:val="24"/>
                <w:szCs w:val="24"/>
                <w:highlight w:val="none"/>
                <w:lang w:eastAsia="zh-CN"/>
              </w:rPr>
              <w:t>）</w:t>
            </w:r>
            <w:r>
              <w:rPr>
                <w:rFonts w:hint="eastAsia" w:ascii="宋体" w:hAnsi="宋体" w:eastAsia="宋体" w:cs="宋体"/>
                <w:color w:val="0D0D0D"/>
                <w:kern w:val="0"/>
                <w:sz w:val="24"/>
                <w:szCs w:val="24"/>
                <w:highlight w:val="none"/>
              </w:rPr>
              <w:t>：≥1.2米可折叠，水</w:t>
            </w:r>
            <w:r>
              <w:rPr>
                <w:rFonts w:hint="eastAsia" w:ascii="宋体" w:hAnsi="宋体" w:eastAsia="宋体" w:cs="宋体"/>
                <w:color w:val="auto"/>
                <w:kern w:val="0"/>
                <w:sz w:val="24"/>
                <w:szCs w:val="24"/>
                <w:highlight w:val="none"/>
              </w:rPr>
              <w:t>平≥360°、俯仰≥60°，手动自由调节并自动悬停，多角度拍摄+投屏</w:t>
            </w:r>
            <w:r>
              <w:rPr>
                <w:rFonts w:hint="eastAsia" w:ascii="宋体" w:hAnsi="宋体" w:eastAsia="宋体" w:cs="宋体"/>
                <w:color w:val="auto"/>
                <w:kern w:val="0"/>
                <w:sz w:val="24"/>
                <w:szCs w:val="24"/>
                <w:highlight w:val="none"/>
                <w:lang w:eastAsia="zh-CN"/>
              </w:rPr>
              <w:t>；</w:t>
            </w:r>
          </w:p>
          <w:p w14:paraId="1317385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C00000"/>
                <w:kern w:val="0"/>
                <w:sz w:val="24"/>
                <w:szCs w:val="24"/>
                <w:highlight w:val="none"/>
                <w:lang w:eastAsia="zh-CN"/>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脚轮：配备静音医用万向脚轮，其中至少2个带刹车功能</w:t>
            </w:r>
            <w:r>
              <w:rPr>
                <w:rFonts w:hint="eastAsia" w:ascii="宋体" w:hAnsi="宋体" w:eastAsia="宋体" w:cs="宋体"/>
                <w:color w:val="auto"/>
                <w:kern w:val="0"/>
                <w:sz w:val="24"/>
                <w:szCs w:val="24"/>
                <w:highlight w:val="none"/>
                <w:lang w:eastAsia="zh-CN"/>
              </w:rPr>
              <w:t>；</w:t>
            </w:r>
          </w:p>
          <w:p w14:paraId="3C8E43A6">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升降功能：台车支持手动或电动升降，升降行程≥30cm，适应不同身高教师操作</w:t>
            </w:r>
            <w:r>
              <w:rPr>
                <w:rFonts w:hint="eastAsia" w:ascii="宋体" w:hAnsi="宋体" w:eastAsia="宋体" w:cs="宋体"/>
                <w:color w:val="auto"/>
                <w:kern w:val="0"/>
                <w:sz w:val="24"/>
                <w:szCs w:val="24"/>
                <w:highlight w:val="none"/>
                <w:lang w:eastAsia="zh-CN"/>
              </w:rPr>
              <w:t>；</w:t>
            </w:r>
          </w:p>
          <w:p w14:paraId="61154E1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5.机柜箱体：内置线材管理机柜，用于收纳主机、电源适配器等设备，保持台面整洁。</w:t>
            </w:r>
          </w:p>
          <w:p w14:paraId="7F5F5CA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FF0000"/>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6.示教车在≤-5℃的低温环境中贮存2h，试验后应正常工作；示教车在≥40℃的高温环境中贮存2h，试验后应正常工作。</w:t>
            </w:r>
            <w:r>
              <w:rPr>
                <w:rFonts w:hint="eastAsia" w:ascii="宋体" w:hAnsi="宋体" w:eastAsia="宋体" w:cs="宋体"/>
                <w:b/>
                <w:bCs/>
                <w:color w:val="FF0000"/>
                <w:kern w:val="0"/>
                <w:sz w:val="24"/>
                <w:szCs w:val="24"/>
                <w:highlight w:val="none"/>
                <w:lang w:val="en-US" w:eastAsia="zh-CN"/>
              </w:rPr>
              <w:t>（注：按GB/T 2423.1-2008《电工电子产品环境试验 第2部分:试验方法 试验A: 低温》及《电工电子产品环境试验 第2部分:试验方法 试验B: 高温》标准，投标人须在投标文件中提供由具备相应检测资质的检测机构出具的带有CMA标识的检测报告扫描件，未提供或提供不符合要求的视为无效响应）</w:t>
            </w:r>
          </w:p>
          <w:p w14:paraId="40B076D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六</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软件功能（内置主机）</w:t>
            </w:r>
          </w:p>
          <w:p w14:paraId="3564828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1.实时示教：≥1080P/60帧高清接入，支持1080P、720P自适应输入输出； </w:t>
            </w:r>
          </w:p>
          <w:p w14:paraId="78C6652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2.学生反示教：九宫格分页小窗，双击全屏，全屏双击退出；支持</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20路画面扩展</w:t>
            </w:r>
            <w:r>
              <w:rPr>
                <w:rFonts w:hint="eastAsia" w:ascii="宋体" w:hAnsi="宋体" w:eastAsia="宋体" w:cs="宋体"/>
                <w:color w:val="auto"/>
                <w:kern w:val="0"/>
                <w:sz w:val="24"/>
                <w:szCs w:val="24"/>
                <w:lang w:eastAsia="zh-CN"/>
              </w:rPr>
              <w:t>；</w:t>
            </w:r>
            <w:r>
              <w:rPr>
                <w:rFonts w:hint="eastAsia" w:ascii="宋体" w:hAnsi="宋体" w:eastAsia="宋体" w:cs="宋体"/>
                <w:b/>
                <w:bCs/>
                <w:color w:val="C00000"/>
                <w:kern w:val="0"/>
                <w:sz w:val="24"/>
                <w:szCs w:val="24"/>
                <w:highlight w:val="none"/>
                <w:lang w:val="en-US" w:eastAsia="zh-CN"/>
              </w:rPr>
              <w:t>（注：本项须提供功能演示视频，投标人需将各项功能模块演示及讲解佐证要点录制视频，视频画面完整清晰。演示内容以mp4、rmvb、mkv格式（建议同时备份几个不同格式的）存储于U盘中递交，演示总时长不超过15分钟，未提供演示或演示内容不满足上述技术要求的视为无效响应。评审现场不支持外网，演示U盘可通过邮寄或现场递交等方式在开标时间前递交至采购代理机构，U盘需密封包装，包装封面须标注投标人名称并加盖投标人公章，逾期不予接收，如因快递、U盘损坏、视频格式等问题导致评审期间无法正常解码播放的，视为演示不成功，响应无效）</w:t>
            </w:r>
          </w:p>
          <w:p w14:paraId="19FCA8A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3.录制与点播：一键录制、暂停/继续、红点闪烁提示；录制同时可</w:t>
            </w:r>
            <w:r>
              <w:rPr>
                <w:rFonts w:hint="eastAsia" w:ascii="宋体" w:hAnsi="宋体" w:eastAsia="宋体" w:cs="宋体"/>
                <w:color w:val="auto"/>
                <w:kern w:val="0"/>
                <w:sz w:val="24"/>
                <w:szCs w:val="24"/>
                <w:lang w:val="en-US" w:eastAsia="zh-CN"/>
              </w:rPr>
              <w:t>多点</w:t>
            </w:r>
            <w:r>
              <w:rPr>
                <w:rFonts w:hint="eastAsia" w:ascii="宋体" w:hAnsi="宋体" w:eastAsia="宋体" w:cs="宋体"/>
                <w:color w:val="auto"/>
                <w:kern w:val="0"/>
                <w:sz w:val="24"/>
                <w:szCs w:val="24"/>
              </w:rPr>
              <w:t>投屏/反示教；</w:t>
            </w:r>
          </w:p>
          <w:p w14:paraId="062DA48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画中画与批注：支持画中画叠加显示，支持实时画板批注功能，可将批注的书写过程及视频画面同步展示到所有接收终端屏幕上</w:t>
            </w:r>
            <w:r>
              <w:rPr>
                <w:rFonts w:hint="eastAsia" w:ascii="宋体" w:hAnsi="宋体" w:eastAsia="宋体" w:cs="宋体"/>
                <w:color w:val="auto"/>
                <w:kern w:val="0"/>
                <w:sz w:val="24"/>
                <w:szCs w:val="24"/>
                <w:lang w:eastAsia="zh-CN"/>
              </w:rPr>
              <w:t>；</w:t>
            </w:r>
          </w:p>
          <w:p w14:paraId="0BCA8BB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直播推流：支持RTMP/RTSP标准协议直播推流，便于拓展网络教学场景</w:t>
            </w:r>
            <w:r>
              <w:rPr>
                <w:rFonts w:hint="eastAsia" w:ascii="宋体" w:hAnsi="宋体" w:eastAsia="宋体" w:cs="宋体"/>
                <w:color w:val="auto"/>
                <w:kern w:val="0"/>
                <w:sz w:val="24"/>
                <w:szCs w:val="24"/>
                <w:lang w:eastAsia="zh-CN"/>
              </w:rPr>
              <w:t>；</w:t>
            </w:r>
          </w:p>
          <w:p w14:paraId="360E397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支持保存录制的视频到本地；</w:t>
            </w:r>
          </w:p>
          <w:p w14:paraId="4AB44D3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支持单镜头放大展示画面；</w:t>
            </w:r>
          </w:p>
          <w:p w14:paraId="19FFF28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账号管理功能；</w:t>
            </w:r>
          </w:p>
          <w:p w14:paraId="082DCB8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C00000"/>
                <w:kern w:val="0"/>
                <w:sz w:val="24"/>
                <w:szCs w:val="24"/>
                <w:lang w:eastAsia="zh-CN"/>
              </w:rPr>
            </w:pP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支持查看</w:t>
            </w:r>
            <w:r>
              <w:rPr>
                <w:rFonts w:hint="eastAsia" w:ascii="宋体" w:hAnsi="宋体" w:eastAsia="宋体" w:cs="宋体"/>
                <w:color w:val="auto"/>
                <w:kern w:val="0"/>
                <w:sz w:val="24"/>
                <w:szCs w:val="24"/>
                <w:lang w:val="en-US" w:eastAsia="zh-CN"/>
              </w:rPr>
              <w:t>护理</w:t>
            </w:r>
            <w:r>
              <w:rPr>
                <w:rFonts w:hint="eastAsia" w:ascii="宋体" w:hAnsi="宋体" w:eastAsia="宋体" w:cs="宋体"/>
                <w:color w:val="auto"/>
                <w:kern w:val="0"/>
                <w:sz w:val="24"/>
                <w:szCs w:val="24"/>
              </w:rPr>
              <w:t>技能操作视频和</w:t>
            </w:r>
            <w:r>
              <w:rPr>
                <w:rFonts w:hint="eastAsia" w:ascii="宋体" w:hAnsi="宋体" w:eastAsia="宋体" w:cs="宋体"/>
                <w:color w:val="auto"/>
                <w:kern w:val="0"/>
                <w:sz w:val="24"/>
                <w:szCs w:val="24"/>
                <w:lang w:val="en-US" w:eastAsia="zh-CN"/>
              </w:rPr>
              <w:t>护理</w:t>
            </w:r>
            <w:r>
              <w:rPr>
                <w:rFonts w:hint="eastAsia" w:ascii="宋体" w:hAnsi="宋体" w:eastAsia="宋体" w:cs="宋体"/>
                <w:color w:val="auto"/>
                <w:kern w:val="0"/>
                <w:sz w:val="24"/>
                <w:szCs w:val="24"/>
              </w:rPr>
              <w:t>相关虚拟仿真教学资源</w:t>
            </w:r>
            <w:r>
              <w:rPr>
                <w:rFonts w:hint="eastAsia" w:ascii="宋体" w:hAnsi="宋体" w:eastAsia="宋体" w:cs="宋体"/>
                <w:color w:val="auto"/>
                <w:kern w:val="0"/>
                <w:sz w:val="24"/>
                <w:szCs w:val="24"/>
                <w:highlight w:val="none"/>
                <w:lang w:eastAsia="zh-CN"/>
              </w:rPr>
              <w:t>。</w:t>
            </w:r>
            <w:r>
              <w:rPr>
                <w:rFonts w:hint="eastAsia" w:ascii="宋体" w:hAnsi="宋体" w:eastAsia="宋体" w:cs="宋体"/>
                <w:b/>
                <w:bCs/>
                <w:color w:val="C00000"/>
                <w:kern w:val="0"/>
                <w:sz w:val="24"/>
                <w:szCs w:val="24"/>
                <w:highlight w:val="none"/>
                <w:lang w:val="en-US" w:eastAsia="zh-CN"/>
              </w:rPr>
              <w:t>（注：本项须提供功能演示视频，投标人需将各项功能模块演示及讲解佐证要点录制视频，视频画面完整清晰。演示内容以mp4、rmvb、mkv格式（建议同时备份几个不同格式的）存储于U盘中递交，演示总时长不超过15分钟，未提供演示或演示内容不满足上述技术要求的视为无效响应。评审现场不支持外网，演示U盘可通过邮寄或现场递交等方式在开标时间前递交至采购代理机构，U盘需密封包装，包装封面须标注投标人名称并加盖投标人公章，逾期不予接收，如因快递、U盘损坏、视频格式等问题导致评审期间无法正常解码播放的，视为演示不成功，响应无效）</w:t>
            </w:r>
          </w:p>
          <w:p w14:paraId="155D31B9">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二、</w:t>
            </w:r>
            <w:r>
              <w:rPr>
                <w:rFonts w:hint="eastAsia" w:ascii="宋体" w:hAnsi="宋体" w:eastAsia="宋体" w:cs="宋体"/>
                <w:color w:val="auto"/>
                <w:kern w:val="0"/>
                <w:sz w:val="24"/>
                <w:szCs w:val="24"/>
              </w:rPr>
              <w:t>学生机3套：</w:t>
            </w:r>
          </w:p>
          <w:p w14:paraId="716BB2B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主机</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1台</w:t>
            </w:r>
            <w:r>
              <w:rPr>
                <w:rFonts w:hint="eastAsia" w:ascii="宋体" w:hAnsi="宋体" w:eastAsia="宋体" w:cs="宋体"/>
                <w:color w:val="auto"/>
                <w:kern w:val="0"/>
                <w:sz w:val="24"/>
                <w:szCs w:val="24"/>
                <w:lang w:eastAsia="zh-CN"/>
              </w:rPr>
              <w:t>）</w:t>
            </w:r>
          </w:p>
          <w:p w14:paraId="1A8CBF7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1.一体化嵌入式主机，支持7×24小时连续运行；内置Android 11及以上系统，≥4 GB运行内存，≥32 GB存储空间。</w:t>
            </w:r>
          </w:p>
          <w:p w14:paraId="638225C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2.接口：≥1×USB</w:t>
            </w:r>
            <w:r>
              <w:rPr>
                <w:rFonts w:hint="eastAsia" w:ascii="宋体" w:hAnsi="宋体" w:eastAsia="宋体" w:cs="宋体"/>
                <w:color w:val="auto"/>
                <w:kern w:val="0"/>
                <w:sz w:val="24"/>
                <w:szCs w:val="24"/>
                <w:lang w:val="en-US" w:eastAsia="zh-CN"/>
              </w:rPr>
              <w:t>接口</w:t>
            </w:r>
            <w:r>
              <w:rPr>
                <w:rFonts w:hint="eastAsia" w:ascii="宋体" w:hAnsi="宋体" w:eastAsia="宋体" w:cs="宋体"/>
                <w:color w:val="auto"/>
                <w:kern w:val="0"/>
                <w:sz w:val="24"/>
                <w:szCs w:val="24"/>
              </w:rPr>
              <w:t>、≥1×HDMI</w:t>
            </w:r>
            <w:r>
              <w:rPr>
                <w:rFonts w:hint="eastAsia" w:ascii="宋体" w:hAnsi="宋体" w:eastAsia="宋体" w:cs="宋体"/>
                <w:color w:val="auto"/>
                <w:kern w:val="0"/>
                <w:sz w:val="24"/>
                <w:szCs w:val="24"/>
                <w:lang w:val="en-US" w:eastAsia="zh-CN"/>
              </w:rPr>
              <w:t>接口</w:t>
            </w:r>
            <w:r>
              <w:rPr>
                <w:rFonts w:hint="eastAsia" w:ascii="宋体" w:hAnsi="宋体" w:eastAsia="宋体" w:cs="宋体"/>
                <w:color w:val="auto"/>
                <w:kern w:val="0"/>
                <w:sz w:val="24"/>
                <w:szCs w:val="24"/>
              </w:rPr>
              <w:t>、≥1×RJ45</w:t>
            </w:r>
            <w:r>
              <w:rPr>
                <w:rFonts w:hint="eastAsia" w:ascii="宋体" w:hAnsi="宋体" w:eastAsia="宋体" w:cs="宋体"/>
                <w:color w:val="auto"/>
                <w:kern w:val="0"/>
                <w:sz w:val="24"/>
                <w:szCs w:val="24"/>
                <w:lang w:val="en-US" w:eastAsia="zh-CN"/>
              </w:rPr>
              <w:t>接口</w:t>
            </w:r>
            <w:r>
              <w:rPr>
                <w:rFonts w:hint="eastAsia" w:ascii="宋体" w:hAnsi="宋体" w:eastAsia="宋体" w:cs="宋体"/>
                <w:color w:val="auto"/>
                <w:kern w:val="0"/>
                <w:sz w:val="24"/>
                <w:szCs w:val="24"/>
              </w:rPr>
              <w:t>；USB支持U盘直接复制录制视频。</w:t>
            </w:r>
          </w:p>
          <w:p w14:paraId="69D3E9E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二</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显示器</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1个</w:t>
            </w:r>
            <w:r>
              <w:rPr>
                <w:rFonts w:hint="eastAsia" w:ascii="宋体" w:hAnsi="宋体" w:eastAsia="宋体" w:cs="宋体"/>
                <w:color w:val="auto"/>
                <w:kern w:val="0"/>
                <w:sz w:val="24"/>
                <w:szCs w:val="24"/>
                <w:lang w:eastAsia="zh-CN"/>
              </w:rPr>
              <w:t>）</w:t>
            </w:r>
          </w:p>
          <w:p w14:paraId="2E59569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1.≥15.6英寸16:9 IPS屏，≥1920×1080分辨率</w:t>
            </w:r>
            <w:r>
              <w:rPr>
                <w:rFonts w:hint="eastAsia" w:ascii="宋体" w:hAnsi="宋体" w:eastAsia="宋体" w:cs="宋体"/>
                <w:color w:val="auto"/>
                <w:kern w:val="0"/>
                <w:sz w:val="24"/>
                <w:szCs w:val="24"/>
                <w:lang w:eastAsia="zh-CN"/>
              </w:rPr>
              <w:t>；</w:t>
            </w:r>
          </w:p>
          <w:p w14:paraId="299F346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2.电容式多点触控（≥10点），触摸定位精准，支持手势操作。</w:t>
            </w:r>
          </w:p>
          <w:p w14:paraId="344767E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三</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高清特写摄像机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1个</w:t>
            </w:r>
            <w:r>
              <w:rPr>
                <w:rFonts w:hint="eastAsia" w:ascii="宋体" w:hAnsi="宋体" w:eastAsia="宋体" w:cs="宋体"/>
                <w:sz w:val="24"/>
                <w:szCs w:val="24"/>
                <w:lang w:eastAsia="zh-CN"/>
              </w:rPr>
              <w:t>）</w:t>
            </w:r>
          </w:p>
          <w:p w14:paraId="61D4551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1.与支臂一体化设计，≥1/</w:t>
            </w:r>
            <w:r>
              <w:rPr>
                <w:rFonts w:hint="eastAsia" w:ascii="宋体" w:hAnsi="宋体" w:eastAsia="宋体" w:cs="宋体"/>
                <w:color w:val="auto"/>
                <w:kern w:val="0"/>
                <w:sz w:val="24"/>
                <w:szCs w:val="24"/>
                <w:lang w:val="en-US" w:eastAsia="zh-CN"/>
              </w:rPr>
              <w:t>2.5</w:t>
            </w:r>
            <w:r>
              <w:rPr>
                <w:rFonts w:hint="eastAsia" w:ascii="宋体" w:hAnsi="宋体" w:eastAsia="宋体" w:cs="宋体"/>
                <w:color w:val="auto"/>
                <w:kern w:val="0"/>
                <w:sz w:val="24"/>
                <w:szCs w:val="24"/>
              </w:rPr>
              <w:t>英寸CMOS，有效像素≥828万，输出分辨率≥4K（3840×2160）</w:t>
            </w:r>
            <w:r>
              <w:rPr>
                <w:rFonts w:hint="eastAsia" w:ascii="宋体" w:hAnsi="宋体" w:eastAsia="宋体" w:cs="宋体"/>
                <w:color w:val="auto"/>
                <w:kern w:val="0"/>
                <w:sz w:val="24"/>
                <w:szCs w:val="24"/>
                <w:lang w:eastAsia="zh-CN"/>
              </w:rPr>
              <w:t>；</w:t>
            </w:r>
          </w:p>
          <w:p w14:paraId="7AC5B68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2.≥10倍光学变倍</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5倍数字变焦；</w:t>
            </w:r>
          </w:p>
          <w:p w14:paraId="75802B7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3.支持自动聚焦+手动按键变焦；</w:t>
            </w:r>
          </w:p>
          <w:p w14:paraId="169FF44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4.信噪比≥50dB，具备2D/3D数字降噪功能。</w:t>
            </w:r>
            <w:r>
              <w:rPr>
                <w:rFonts w:hint="eastAsia" w:ascii="宋体" w:hAnsi="宋体" w:eastAsia="宋体" w:cs="宋体"/>
                <w:color w:val="auto"/>
                <w:kern w:val="0"/>
                <w:sz w:val="24"/>
                <w:szCs w:val="24"/>
              </w:rPr>
              <w:t xml:space="preserve"> </w:t>
            </w:r>
          </w:p>
          <w:p w14:paraId="628D3EE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四</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移动推车及支臂</w:t>
            </w:r>
          </w:p>
          <w:p w14:paraId="7AD575A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1.车体：铝合金+ABS工程塑料，哑光喷塑</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w:t>
            </w:r>
          </w:p>
          <w:p w14:paraId="79777B8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2.悬停长支臂：≥1.2米可折叠，旋转</w:t>
            </w:r>
            <w:r>
              <w:rPr>
                <w:rFonts w:hint="eastAsia" w:ascii="宋体" w:hAnsi="宋体" w:eastAsia="宋体" w:cs="宋体"/>
                <w:color w:val="auto"/>
                <w:kern w:val="0"/>
                <w:sz w:val="24"/>
                <w:szCs w:val="24"/>
                <w:lang w:eastAsia="zh-CN"/>
              </w:rPr>
              <w:t>；</w:t>
            </w:r>
          </w:p>
          <w:p w14:paraId="3BB6146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i w:val="0"/>
                <w:iCs w:val="0"/>
                <w:caps w:val="0"/>
                <w:color w:val="auto"/>
                <w:spacing w:val="0"/>
                <w:sz w:val="24"/>
                <w:szCs w:val="24"/>
                <w:shd w:val="clear" w:color="auto" w:fill="FFFFFF"/>
              </w:rPr>
              <w:t>配备静音医用万向脚轮，其中至少2个带刹车功能。内置线材管理机柜</w:t>
            </w:r>
            <w:r>
              <w:rPr>
                <w:rFonts w:hint="eastAsia" w:ascii="宋体" w:hAnsi="宋体" w:eastAsia="宋体" w:cs="宋体"/>
                <w:i w:val="0"/>
                <w:iCs w:val="0"/>
                <w:caps w:val="0"/>
                <w:color w:val="auto"/>
                <w:spacing w:val="0"/>
                <w:sz w:val="24"/>
                <w:szCs w:val="24"/>
                <w:shd w:val="clear" w:color="auto" w:fill="FFFFFF"/>
                <w:lang w:eastAsia="zh-CN"/>
              </w:rPr>
              <w:t>。</w:t>
            </w:r>
          </w:p>
          <w:p w14:paraId="1536438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五</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学生机</w:t>
            </w:r>
            <w:r>
              <w:rPr>
                <w:rFonts w:hint="eastAsia" w:ascii="宋体" w:hAnsi="宋体" w:eastAsia="宋体" w:cs="宋体"/>
                <w:color w:val="auto"/>
                <w:kern w:val="0"/>
                <w:sz w:val="24"/>
                <w:szCs w:val="24"/>
              </w:rPr>
              <w:t>系统软件功能</w:t>
            </w:r>
          </w:p>
          <w:p w14:paraId="38FAA29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C00000"/>
                <w:kern w:val="0"/>
                <w:sz w:val="24"/>
                <w:szCs w:val="24"/>
              </w:rPr>
            </w:pPr>
            <w:r>
              <w:rPr>
                <w:rFonts w:hint="eastAsia" w:ascii="宋体" w:hAnsi="宋体" w:eastAsia="宋体" w:cs="宋体"/>
                <w:color w:val="auto"/>
                <w:kern w:val="0"/>
                <w:sz w:val="24"/>
                <w:szCs w:val="24"/>
              </w:rPr>
              <w:t>1.实时示教展示：教师机点击投屏后，学生机实时显示示教画面；学生端摄像头画面可同步到大屏。</w:t>
            </w:r>
            <w:r>
              <w:rPr>
                <w:rFonts w:hint="eastAsia" w:ascii="宋体" w:hAnsi="宋体" w:eastAsia="宋体" w:cs="宋体"/>
                <w:b/>
                <w:bCs/>
                <w:color w:val="C00000"/>
                <w:kern w:val="0"/>
                <w:sz w:val="24"/>
                <w:szCs w:val="24"/>
                <w:highlight w:val="none"/>
                <w:lang w:val="en-US" w:eastAsia="zh-CN"/>
              </w:rPr>
              <w:t>（注：本项须提供功能演示视频，投标人需将各项功能模块演示及讲解佐证要点录制视频，视频画面完整清晰。演示内容以mp4、rmvb、mkv格式（建议同时备份几个不同格式的）存储于U盘中递交，演示总时长不超过15分钟，未提供演示或演示内容不满足上述技术要求的视为无效响应。评审现场不支持外网，演示U盘可通过邮寄或现场递交等方式在开标时间前递交至采购代理机构，U盘需密封包装，包装封面须标注投标人名称并加盖投标人公章，逾期不予接收，如因快递、U盘损坏、视频格式等问题导致评审期间无法正常解码播放的，视为演示不成功，响应无效）</w:t>
            </w:r>
          </w:p>
          <w:p w14:paraId="393F5BD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2.录制与保存：一键录制，录制中可开始/结束；结束自动弹出保存</w:t>
            </w:r>
            <w:r>
              <w:rPr>
                <w:rFonts w:hint="eastAsia" w:ascii="宋体" w:hAnsi="宋体" w:eastAsia="宋体" w:cs="宋体"/>
                <w:color w:val="auto"/>
                <w:kern w:val="0"/>
                <w:sz w:val="24"/>
                <w:szCs w:val="24"/>
                <w:lang w:eastAsia="zh-CN"/>
              </w:rPr>
              <w:t>窗口</w:t>
            </w:r>
            <w:r>
              <w:rPr>
                <w:rFonts w:hint="eastAsia" w:ascii="宋体" w:hAnsi="宋体" w:eastAsia="宋体" w:cs="宋体"/>
                <w:color w:val="auto"/>
                <w:kern w:val="0"/>
                <w:sz w:val="24"/>
                <w:szCs w:val="24"/>
              </w:rPr>
              <w:t>。</w:t>
            </w:r>
          </w:p>
        </w:tc>
      </w:tr>
      <w:tr w14:paraId="5783E69F">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328E5994">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p>
        </w:tc>
        <w:tc>
          <w:tcPr>
            <w:tcW w:w="959" w:type="pct"/>
            <w:tcBorders>
              <w:top w:val="nil"/>
              <w:left w:val="nil"/>
              <w:bottom w:val="single" w:color="auto" w:sz="4" w:space="0"/>
              <w:right w:val="single" w:color="auto" w:sz="4" w:space="0"/>
            </w:tcBorders>
            <w:shd w:val="clear" w:color="000000" w:fill="FFFFFF"/>
            <w:noWrap w:val="0"/>
            <w:vAlign w:val="center"/>
          </w:tcPr>
          <w:p w14:paraId="232884CB">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临床技能训练移动示教车</w:t>
            </w:r>
          </w:p>
        </w:tc>
        <w:tc>
          <w:tcPr>
            <w:tcW w:w="3619" w:type="pct"/>
            <w:tcBorders>
              <w:top w:val="nil"/>
              <w:left w:val="nil"/>
              <w:bottom w:val="single" w:color="auto" w:sz="4" w:space="0"/>
              <w:right w:val="single" w:color="auto" w:sz="4" w:space="0"/>
            </w:tcBorders>
            <w:noWrap w:val="0"/>
            <w:vAlign w:val="center"/>
          </w:tcPr>
          <w:p w14:paraId="79BBD26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一、移动推车（1台）</w:t>
            </w:r>
          </w:p>
          <w:p w14:paraId="0BD1FFD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1、车体材质：铝合金型材+ABS工程塑料，表面哑光喷塑处理，防滑易清洁。工作台面模具</w:t>
            </w:r>
            <w:r>
              <w:rPr>
                <w:rFonts w:hint="eastAsia" w:ascii="宋体" w:hAnsi="宋体" w:eastAsia="宋体" w:cs="宋体"/>
                <w:color w:val="0D0D0D"/>
                <w:kern w:val="0"/>
                <w:sz w:val="24"/>
                <w:szCs w:val="24"/>
                <w:lang w:val="en-US" w:eastAsia="zh-CN"/>
              </w:rPr>
              <w:t>成型，</w:t>
            </w:r>
            <w:r>
              <w:rPr>
                <w:rFonts w:hint="eastAsia" w:ascii="宋体" w:hAnsi="宋体" w:eastAsia="宋体" w:cs="宋体"/>
                <w:color w:val="0D0D0D"/>
                <w:kern w:val="0"/>
                <w:sz w:val="24"/>
                <w:szCs w:val="24"/>
                <w:highlight w:val="none"/>
              </w:rPr>
              <w:t>工作台面有效置物尺寸约59cm*39cm，台面称重≥20公斤</w:t>
            </w:r>
            <w:r>
              <w:rPr>
                <w:rFonts w:hint="eastAsia" w:ascii="宋体" w:hAnsi="宋体" w:eastAsia="宋体" w:cs="宋体"/>
                <w:color w:val="0D0D0D"/>
                <w:kern w:val="0"/>
                <w:sz w:val="24"/>
                <w:szCs w:val="24"/>
                <w:lang w:eastAsia="zh-CN"/>
              </w:rPr>
              <w:t>，</w:t>
            </w:r>
            <w:r>
              <w:rPr>
                <w:rFonts w:hint="eastAsia" w:ascii="宋体" w:hAnsi="宋体" w:eastAsia="宋体" w:cs="宋体"/>
                <w:color w:val="auto"/>
                <w:kern w:val="0"/>
                <w:sz w:val="24"/>
                <w:szCs w:val="24"/>
                <w:lang w:eastAsia="zh-CN"/>
              </w:rPr>
              <w:t>可</w:t>
            </w:r>
            <w:r>
              <w:rPr>
                <w:rFonts w:hint="eastAsia" w:ascii="宋体" w:hAnsi="宋体" w:eastAsia="宋体" w:cs="宋体"/>
                <w:color w:val="auto"/>
                <w:kern w:val="0"/>
                <w:sz w:val="24"/>
                <w:szCs w:val="24"/>
                <w:lang w:val="en-US" w:eastAsia="zh-CN"/>
              </w:rPr>
              <w:t>前置拉手。</w:t>
            </w:r>
          </w:p>
          <w:p w14:paraId="4B618C4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C00000"/>
                <w:kern w:val="0"/>
                <w:sz w:val="24"/>
                <w:szCs w:val="24"/>
                <w:lang w:val="en-US" w:eastAsia="zh-CN"/>
              </w:rPr>
            </w:pPr>
            <w:r>
              <w:rPr>
                <w:rFonts w:hint="eastAsia" w:ascii="宋体" w:hAnsi="宋体" w:eastAsia="宋体" w:cs="宋体"/>
                <w:color w:val="auto"/>
                <w:kern w:val="0"/>
                <w:sz w:val="24"/>
                <w:szCs w:val="24"/>
                <w:lang w:val="en-US" w:eastAsia="zh-CN"/>
              </w:rPr>
              <w:t>2、悬停支臂（2个）：支持≥2个摄像机支臂，长度≥1.2米，可折叠收缩。水平旋转≥360°，俯仰≥60°，手动调节后自动悬停。</w:t>
            </w:r>
          </w:p>
          <w:p w14:paraId="72762F7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C00000"/>
                <w:kern w:val="0"/>
                <w:sz w:val="24"/>
                <w:szCs w:val="24"/>
                <w:lang w:val="en-US" w:eastAsia="zh-CN"/>
              </w:rPr>
            </w:pPr>
            <w:r>
              <w:rPr>
                <w:rFonts w:hint="eastAsia" w:ascii="宋体" w:hAnsi="宋体" w:eastAsia="宋体" w:cs="宋体"/>
                <w:color w:val="auto"/>
                <w:kern w:val="0"/>
                <w:sz w:val="24"/>
                <w:szCs w:val="24"/>
                <w:lang w:val="en-US" w:eastAsia="zh-CN"/>
              </w:rPr>
              <w:t>3、脚轮：超静音万向脚轮，带脚刹，四轮着地。</w:t>
            </w:r>
          </w:p>
          <w:p w14:paraId="4CEADAC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C00000"/>
                <w:kern w:val="0"/>
                <w:sz w:val="24"/>
                <w:szCs w:val="24"/>
                <w:lang w:val="en-US" w:eastAsia="zh-CN"/>
              </w:rPr>
            </w:pPr>
            <w:r>
              <w:rPr>
                <w:rFonts w:hint="eastAsia" w:ascii="宋体" w:hAnsi="宋体" w:eastAsia="宋体" w:cs="宋体"/>
                <w:color w:val="auto"/>
                <w:kern w:val="0"/>
                <w:sz w:val="24"/>
                <w:szCs w:val="24"/>
                <w:lang w:val="en-US" w:eastAsia="zh-CN"/>
              </w:rPr>
              <w:t>4、显示器支架：承重≥20KG。</w:t>
            </w:r>
          </w:p>
          <w:p w14:paraId="598D1C57">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二、高清特写摄像机2个（双枪机）</w:t>
            </w:r>
          </w:p>
          <w:p w14:paraId="79597AD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1、与支臂一体化集成，传感器≥1/2.5英寸CMOS，有效像素≥824万，输出分辨率≥4K（3840×2160）。光学变焦≥10倍，数字变焦≥5倍。支持自动聚焦及手动按键变焦。信噪比≥50dB，具备2D/3D数字降噪功能；</w:t>
            </w:r>
          </w:p>
          <w:p w14:paraId="42AAD5D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2、输出接口：HDMI×1，RJ45网络接口×1（10M/100M自适应）。</w:t>
            </w:r>
          </w:p>
          <w:p w14:paraId="4A26F87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三、显示器1个</w:t>
            </w:r>
          </w:p>
          <w:p w14:paraId="3BD3A91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尺寸≥23.8英寸，16:9 IPS屏，分辨率≥1920×1080，刷新率≥60Hz。投射电容式触摸屏，支持≥10点触控。内置至少双2W立体声扬声器。（画面显示延时≤1秒）</w:t>
            </w:r>
          </w:p>
          <w:p w14:paraId="09138066">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四、终端主机1个</w:t>
            </w:r>
          </w:p>
          <w:p w14:paraId="7FCA096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一体化主机，支持长时间稳定运行。M.2接口固态硬盘≥1TB。接口：≥1×USB、≥1×HDMI、≥1×RJ45。支持U盘直接复制录制视频（MP4格式）。配备≥1个高灵敏度麦克风，支持采集示教讲解声音。</w:t>
            </w:r>
          </w:p>
          <w:p w14:paraId="377DFF5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五、软件功能（内置主机）</w:t>
            </w:r>
          </w:p>
          <w:p w14:paraId="7469688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xml:space="preserve">1.实时示教：≥1080P/60帧高清接入，支持1080P、720P自适应输入输出； </w:t>
            </w:r>
          </w:p>
          <w:p w14:paraId="0E67AD10">
            <w:pPr>
              <w:keepNext w:val="0"/>
              <w:keepLines w:val="0"/>
              <w:pageBreakBefore w:val="0"/>
              <w:widowControl w:val="0"/>
              <w:kinsoku/>
              <w:wordWrap/>
              <w:overflowPunct/>
              <w:topLinePunct w:val="0"/>
              <w:autoSpaceDE/>
              <w:autoSpaceDN/>
              <w:bidi w:val="0"/>
              <w:adjustRightInd w:val="0"/>
              <w:snapToGrid w:val="0"/>
              <w:spacing w:line="460" w:lineRule="exact"/>
              <w:textAlignment w:val="baseline"/>
              <w:rPr>
                <w:rFonts w:hint="eastAsia" w:ascii="宋体" w:hAnsi="宋体" w:eastAsia="宋体" w:cs="宋体"/>
                <w:color w:val="C00000"/>
                <w:kern w:val="0"/>
                <w:sz w:val="24"/>
                <w:szCs w:val="24"/>
                <w:lang w:val="en-US" w:eastAsia="zh-CN"/>
              </w:rPr>
            </w:pPr>
            <w:r>
              <w:rPr>
                <w:rFonts w:hint="eastAsia" w:ascii="宋体" w:hAnsi="宋体" w:eastAsia="宋体" w:cs="宋体"/>
                <w:color w:val="auto"/>
                <w:kern w:val="0"/>
                <w:sz w:val="24"/>
                <w:szCs w:val="24"/>
                <w:lang w:val="en-US" w:eastAsia="zh-CN"/>
              </w:rPr>
              <w:t>2.录制与点播：一键录制、暂停/继续、红点闪烁提示；录制同时可投屏；支持保存录制的视频到本地；</w:t>
            </w:r>
          </w:p>
          <w:p w14:paraId="0C82EDDD">
            <w:pPr>
              <w:keepNext w:val="0"/>
              <w:keepLines w:val="0"/>
              <w:pageBreakBefore w:val="0"/>
              <w:widowControl w:val="0"/>
              <w:kinsoku/>
              <w:wordWrap/>
              <w:overflowPunct/>
              <w:topLinePunct w:val="0"/>
              <w:autoSpaceDE/>
              <w:autoSpaceDN/>
              <w:bidi w:val="0"/>
              <w:adjustRightInd w:val="0"/>
              <w:snapToGrid w:val="0"/>
              <w:spacing w:line="460" w:lineRule="exact"/>
              <w:textAlignment w:val="baseline"/>
              <w:rPr>
                <w:rFonts w:hint="eastAsia" w:ascii="宋体" w:hAnsi="宋体" w:eastAsia="宋体" w:cs="宋体"/>
                <w:color w:val="C00000"/>
                <w:kern w:val="0"/>
                <w:sz w:val="24"/>
                <w:szCs w:val="24"/>
                <w:lang w:val="en-US" w:eastAsia="zh-CN"/>
              </w:rPr>
            </w:pPr>
            <w:r>
              <w:rPr>
                <w:rFonts w:hint="eastAsia" w:ascii="宋体" w:hAnsi="宋体" w:eastAsia="宋体" w:cs="宋体"/>
                <w:color w:val="auto"/>
                <w:kern w:val="0"/>
                <w:sz w:val="24"/>
                <w:szCs w:val="24"/>
                <w:lang w:val="en-US" w:eastAsia="zh-CN"/>
              </w:rPr>
              <w:t>3.支持单镜头放大展示画面；画面批注功能，可将批注的书写过程及视频画面同步展示到所有接收终端屏幕上；</w:t>
            </w:r>
          </w:p>
          <w:p w14:paraId="5F7D5033">
            <w:pPr>
              <w:keepNext w:val="0"/>
              <w:keepLines w:val="0"/>
              <w:pageBreakBefore w:val="0"/>
              <w:widowControl w:val="0"/>
              <w:kinsoku/>
              <w:wordWrap/>
              <w:overflowPunct/>
              <w:topLinePunct w:val="0"/>
              <w:autoSpaceDE/>
              <w:autoSpaceDN/>
              <w:bidi w:val="0"/>
              <w:adjustRightInd w:val="0"/>
              <w:snapToGrid w:val="0"/>
              <w:spacing w:line="460" w:lineRule="exac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4.账号管理功能；</w:t>
            </w:r>
          </w:p>
          <w:p w14:paraId="3B6ECEE5">
            <w:pPr>
              <w:keepNext w:val="0"/>
              <w:keepLines w:val="0"/>
              <w:pageBreakBefore w:val="0"/>
              <w:widowControl w:val="0"/>
              <w:kinsoku/>
              <w:wordWrap/>
              <w:overflowPunct/>
              <w:topLinePunct w:val="0"/>
              <w:autoSpaceDE/>
              <w:autoSpaceDN/>
              <w:bidi w:val="0"/>
              <w:adjustRightInd w:val="0"/>
              <w:snapToGrid w:val="0"/>
              <w:spacing w:line="460" w:lineRule="exac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5.支持查看护理技能操作视频和护理相关虚拟仿真教学资源。</w:t>
            </w:r>
          </w:p>
          <w:p w14:paraId="602F2C9F">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6.投屏方式：①无线投屏（WiFi网络）；②有线投屏（HDMI直连）；③一对多投屏（一台示教车同时投屏至多个显示终端）；</w:t>
            </w:r>
            <w:r>
              <w:rPr>
                <w:rFonts w:hint="eastAsia" w:ascii="宋体" w:hAnsi="宋体" w:eastAsia="宋体" w:cs="宋体"/>
                <w:b/>
                <w:bCs/>
                <w:color w:val="C00000"/>
                <w:kern w:val="0"/>
                <w:sz w:val="24"/>
                <w:szCs w:val="24"/>
                <w:highlight w:val="none"/>
                <w:lang w:val="en-US" w:eastAsia="zh-CN"/>
              </w:rPr>
              <w:t>（注：本项须提供功能演示视频，投标人需将各项功能模块演示及讲解佐证要点录制视频，视频画面完整清晰。演示内容以mp4、rmvb、mkv格式（建议同时备份几个不同格式的）存储于U盘中递交，演示总时长不超过15分钟，未提供演示或演示内容不满足上述技术要求的视为无效响应。评审现场不支持外网，演示U盘可通过邮寄或现场递交等方式在开标时间前递交至采购代理机构，U盘需密封包装，包装封面须标注投标人名称并加盖投标人公章，逾期不予接收，如因快递、U盘损坏、视频格式等问题导致评审期间无法正常解码播放的，视为演示不成功，响应无效）</w:t>
            </w:r>
          </w:p>
          <w:p w14:paraId="62B93CA9">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7.直播推流：支持RTMP/RTSP标准协议直播推流，便于拓展网络教学场景。</w:t>
            </w:r>
          </w:p>
        </w:tc>
      </w:tr>
      <w:tr w14:paraId="090826D7">
        <w:tblPrEx>
          <w:tblCellMar>
            <w:top w:w="0" w:type="dxa"/>
            <w:left w:w="108" w:type="dxa"/>
            <w:bottom w:w="0" w:type="dxa"/>
            <w:right w:w="108" w:type="dxa"/>
          </w:tblCellMar>
        </w:tblPrEx>
        <w:trPr>
          <w:trHeight w:val="492" w:hRule="atLeast"/>
        </w:trPr>
        <w:tc>
          <w:tcPr>
            <w:tcW w:w="420" w:type="pct"/>
            <w:tcBorders>
              <w:top w:val="nil"/>
              <w:left w:val="single" w:color="auto" w:sz="4" w:space="0"/>
              <w:bottom w:val="single" w:color="auto" w:sz="4" w:space="0"/>
              <w:right w:val="single" w:color="auto" w:sz="4" w:space="0"/>
            </w:tcBorders>
            <w:shd w:val="clear" w:color="000000" w:fill="FFFFFF"/>
            <w:noWrap/>
            <w:vAlign w:val="center"/>
          </w:tcPr>
          <w:p w14:paraId="481B35DE">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p>
        </w:tc>
        <w:tc>
          <w:tcPr>
            <w:tcW w:w="959" w:type="pct"/>
            <w:tcBorders>
              <w:top w:val="nil"/>
              <w:left w:val="nil"/>
              <w:bottom w:val="single" w:color="auto" w:sz="4" w:space="0"/>
              <w:right w:val="single" w:color="auto" w:sz="4" w:space="0"/>
            </w:tcBorders>
            <w:noWrap w:val="0"/>
            <w:vAlign w:val="center"/>
          </w:tcPr>
          <w:p w14:paraId="3E2E81D9">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中药材磨粉碎机</w:t>
            </w:r>
          </w:p>
        </w:tc>
        <w:tc>
          <w:tcPr>
            <w:tcW w:w="3619" w:type="pct"/>
            <w:tcBorders>
              <w:top w:val="nil"/>
              <w:left w:val="nil"/>
              <w:bottom w:val="single" w:color="auto" w:sz="4" w:space="0"/>
              <w:right w:val="single" w:color="auto" w:sz="4" w:space="0"/>
            </w:tcBorders>
            <w:noWrap w:val="0"/>
            <w:vAlign w:val="center"/>
          </w:tcPr>
          <w:p w14:paraId="7CFD572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1、304不锈钢粉碎仓</w:t>
            </w:r>
            <w:r>
              <w:rPr>
                <w:rFonts w:hint="eastAsia" w:ascii="宋体" w:hAnsi="宋体" w:eastAsia="宋体" w:cs="宋体"/>
                <w:color w:val="auto"/>
                <w:kern w:val="0"/>
                <w:sz w:val="24"/>
                <w:szCs w:val="24"/>
                <w:lang w:eastAsia="zh-CN"/>
              </w:rPr>
              <w:t>；</w:t>
            </w:r>
          </w:p>
          <w:p w14:paraId="43E2C91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2、电压：220V/50Hz-60Hz</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3、细度：30目-300目</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4、转速：</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28000转/每分钟。</w:t>
            </w:r>
          </w:p>
          <w:p w14:paraId="45DE7E3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5、功率：</w:t>
            </w:r>
            <w:r>
              <w:rPr>
                <w:rFonts w:hint="eastAsia" w:ascii="宋体" w:hAnsi="宋体" w:eastAsia="宋体" w:cs="宋体"/>
                <w:color w:val="auto"/>
                <w:kern w:val="0"/>
                <w:sz w:val="24"/>
                <w:szCs w:val="24"/>
              </w:rPr>
              <w:t>1800瓦。</w:t>
            </w:r>
          </w:p>
        </w:tc>
      </w:tr>
    </w:tbl>
    <w:p w14:paraId="4E67C9BD">
      <w:pPr>
        <w:jc w:val="both"/>
        <w:rPr>
          <w:rFonts w:hint="eastAsia" w:ascii="仿宋_GB2312" w:hAnsi="宋体" w:eastAsia="仿宋_GB2312"/>
          <w:b/>
          <w:sz w:val="28"/>
          <w:szCs w:val="28"/>
        </w:rPr>
      </w:pPr>
    </w:p>
    <w:p w14:paraId="178506D1">
      <w:pPr>
        <w:jc w:val="center"/>
        <w:rPr>
          <w:rFonts w:hint="eastAsia" w:ascii="楷体" w:hAnsi="楷体" w:eastAsia="楷体" w:cs="楷体"/>
          <w:b/>
          <w:bCs/>
          <w:sz w:val="28"/>
          <w:szCs w:val="28"/>
        </w:rPr>
      </w:pPr>
      <w:r>
        <w:rPr>
          <w:rFonts w:hint="eastAsia" w:ascii="楷体" w:hAnsi="楷体" w:eastAsia="楷体" w:cs="楷体"/>
          <w:b/>
          <w:bCs/>
          <w:sz w:val="28"/>
          <w:szCs w:val="28"/>
        </w:rPr>
        <w:t>3、</w:t>
      </w:r>
      <w:bookmarkEnd w:id="24"/>
      <w:bookmarkEnd w:id="25"/>
      <w:r>
        <w:rPr>
          <w:rFonts w:hint="eastAsia" w:ascii="楷体" w:hAnsi="楷体" w:eastAsia="楷体" w:cs="楷体"/>
          <w:b/>
          <w:bCs/>
          <w:sz w:val="28"/>
          <w:szCs w:val="28"/>
        </w:rPr>
        <w:t>商务要求</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1913"/>
        <w:gridCol w:w="6255"/>
      </w:tblGrid>
      <w:tr w14:paraId="1FC0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48488A52">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1035" w:type="pct"/>
            <w:vAlign w:val="center"/>
          </w:tcPr>
          <w:p w14:paraId="7C0F76F7">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rPr>
              <w:t>条款名称</w:t>
            </w:r>
          </w:p>
        </w:tc>
        <w:tc>
          <w:tcPr>
            <w:tcW w:w="3385" w:type="pct"/>
            <w:vAlign w:val="center"/>
          </w:tcPr>
          <w:p w14:paraId="2CE4DB54">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rPr>
              <w:t>需求说明</w:t>
            </w:r>
          </w:p>
        </w:tc>
      </w:tr>
      <w:tr w14:paraId="4C27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707CFA45">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35" w:type="pct"/>
            <w:vAlign w:val="center"/>
          </w:tcPr>
          <w:p w14:paraId="4F828660">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交付时间</w:t>
            </w:r>
          </w:p>
          <w:p w14:paraId="2CFD6E6C">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（期限）</w:t>
            </w:r>
          </w:p>
        </w:tc>
        <w:tc>
          <w:tcPr>
            <w:tcW w:w="3385" w:type="pct"/>
            <w:vAlign w:val="center"/>
          </w:tcPr>
          <w:p w14:paraId="0E62E0B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spacing w:val="-3"/>
                <w:sz w:val="24"/>
                <w:szCs w:val="24"/>
              </w:rPr>
            </w:pPr>
            <w:r>
              <w:rPr>
                <w:rFonts w:hint="eastAsia" w:ascii="宋体" w:hAnsi="宋体" w:eastAsia="宋体" w:cs="宋体"/>
                <w:color w:val="auto"/>
                <w:sz w:val="24"/>
                <w:szCs w:val="24"/>
              </w:rPr>
              <w:t>合同签订后</w:t>
            </w:r>
            <w:r>
              <w:rPr>
                <w:rFonts w:hint="eastAsia" w:ascii="宋体" w:hAnsi="宋体" w:eastAsia="宋体" w:cs="宋体"/>
                <w:color w:val="auto"/>
                <w:sz w:val="24"/>
                <w:szCs w:val="24"/>
                <w:u w:val="single"/>
                <w:lang w:val="en-US" w:eastAsia="zh-CN"/>
              </w:rPr>
              <w:t>20</w:t>
            </w:r>
            <w:r>
              <w:rPr>
                <w:rFonts w:hint="eastAsia" w:ascii="宋体" w:hAnsi="宋体" w:eastAsia="宋体" w:cs="宋体"/>
                <w:color w:val="auto"/>
                <w:sz w:val="24"/>
                <w:szCs w:val="24"/>
              </w:rPr>
              <w:t>个日历日内。</w:t>
            </w:r>
            <w:r>
              <w:rPr>
                <w:rFonts w:hint="eastAsia" w:ascii="宋体" w:hAnsi="宋体" w:eastAsia="宋体" w:cs="宋体"/>
                <w:color w:val="auto"/>
                <w:sz w:val="24"/>
                <w:szCs w:val="24"/>
                <w:lang w:val="en-US" w:eastAsia="zh-CN"/>
              </w:rPr>
              <w:t>中标人</w:t>
            </w:r>
            <w:r>
              <w:rPr>
                <w:rFonts w:hint="eastAsia" w:ascii="宋体" w:hAnsi="宋体" w:eastAsia="宋体" w:cs="宋体"/>
                <w:color w:val="auto"/>
                <w:sz w:val="24"/>
                <w:szCs w:val="24"/>
              </w:rPr>
              <w:t>应保证在要求时间内完成全部货物的供货、安装、调试和培训工作，符合国家标准、行业规范和合同等相关文件的要求。</w:t>
            </w:r>
          </w:p>
        </w:tc>
      </w:tr>
      <w:tr w14:paraId="5E47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579" w:type="pct"/>
            <w:vAlign w:val="center"/>
          </w:tcPr>
          <w:p w14:paraId="7335DC4B">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35" w:type="pct"/>
            <w:vAlign w:val="center"/>
          </w:tcPr>
          <w:p w14:paraId="6DADB691">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交付地点</w:t>
            </w:r>
          </w:p>
          <w:p w14:paraId="294E1E38">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（范围）</w:t>
            </w:r>
          </w:p>
        </w:tc>
        <w:tc>
          <w:tcPr>
            <w:tcW w:w="3385" w:type="pct"/>
            <w:vAlign w:val="center"/>
          </w:tcPr>
          <w:p w14:paraId="08D3C7F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i/>
                <w:color w:val="auto"/>
                <w:spacing w:val="-3"/>
                <w:sz w:val="24"/>
                <w:szCs w:val="24"/>
              </w:rPr>
            </w:pPr>
            <w:r>
              <w:rPr>
                <w:rFonts w:hint="eastAsia" w:ascii="宋体" w:hAnsi="宋体" w:eastAsia="宋体" w:cs="宋体"/>
                <w:color w:val="auto"/>
                <w:sz w:val="24"/>
                <w:szCs w:val="24"/>
              </w:rPr>
              <w:t>南昌医学院象湖校区1号实训楼</w:t>
            </w:r>
          </w:p>
        </w:tc>
      </w:tr>
      <w:tr w14:paraId="63CE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4BABC2D1">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35" w:type="pct"/>
            <w:vAlign w:val="center"/>
          </w:tcPr>
          <w:p w14:paraId="204131D9">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履约保证金</w:t>
            </w:r>
          </w:p>
        </w:tc>
        <w:tc>
          <w:tcPr>
            <w:tcW w:w="3385" w:type="pct"/>
            <w:vAlign w:val="center"/>
          </w:tcPr>
          <w:p w14:paraId="58FE0E43">
            <w:pPr>
              <w:kinsoku/>
              <w:autoSpaceDE/>
              <w:autoSpaceDN/>
              <w:spacing w:line="460" w:lineRule="exact"/>
              <w:rPr>
                <w:rFonts w:hint="eastAsia" w:ascii="宋体" w:hAnsi="宋体" w:eastAsia="宋体" w:cs="宋体"/>
                <w:color w:val="auto"/>
                <w:sz w:val="24"/>
                <w:szCs w:val="24"/>
                <w:highlight w:val="none"/>
                <w:lang w:eastAsia="zh-CN"/>
              </w:rPr>
            </w:pPr>
            <w:r>
              <w:rPr>
                <w:rStyle w:val="35"/>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eastAsia="zh-CN"/>
              </w:rPr>
              <w:t>、履约保证金金额：合同金额的10%；</w:t>
            </w:r>
          </w:p>
          <w:p w14:paraId="743664F6">
            <w:pPr>
              <w:kinsoku/>
              <w:autoSpaceDE/>
              <w:autoSpaceDN/>
              <w:spacing w:line="4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2、履约保证金递交方式：合同签订后1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个</w:t>
            </w:r>
            <w:r>
              <w:rPr>
                <w:rFonts w:hint="eastAsia" w:ascii="宋体" w:hAnsi="宋体" w:eastAsia="宋体" w:cs="宋体"/>
                <w:color w:val="auto"/>
                <w:sz w:val="24"/>
                <w:szCs w:val="24"/>
                <w:highlight w:val="none"/>
                <w:lang w:val="en-US" w:eastAsia="zh-CN"/>
              </w:rPr>
              <w:t>日历</w:t>
            </w:r>
            <w:r>
              <w:rPr>
                <w:rFonts w:hint="eastAsia" w:ascii="宋体" w:hAnsi="宋体" w:eastAsia="宋体" w:cs="宋体"/>
                <w:color w:val="auto"/>
                <w:sz w:val="24"/>
                <w:szCs w:val="24"/>
                <w:highlight w:val="none"/>
                <w:lang w:eastAsia="zh-CN"/>
              </w:rPr>
              <w:t>日内，中标人应以支票、汇票、本票或者金融机构、担保机构出具的保函等非现金形式向采购人递交履约保证金；</w:t>
            </w:r>
          </w:p>
          <w:p w14:paraId="4D9B6F78">
            <w:pPr>
              <w:kinsoku/>
              <w:autoSpaceDE/>
              <w:autoSpaceDN/>
              <w:spacing w:line="4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3、履约保证金退还方式、时间、条件：履约保证金在本合同履行完毕并验收合格后，由中标人向采购人提出退还履约保证金申请，采购人收到中标人申请后10个工作日内一次性退还（不计利息）；</w:t>
            </w:r>
          </w:p>
          <w:p w14:paraId="485E8C4D">
            <w:pPr>
              <w:kinsoku/>
              <w:autoSpaceDE/>
              <w:autoSpaceDN/>
              <w:spacing w:line="4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4、履约保证金不予退还情形：签订合同后，如中标人不按双方签订的合同规定履约，则没收其全部履约保证金，履约保证金不足以赔偿损失的，按实际损失赔偿。</w:t>
            </w:r>
          </w:p>
          <w:p w14:paraId="5FDEB9E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5、逾期退还履约保证金违约责任：采购人逾期退还履约保证金的，应按银行同期存款利率支付逾期利息，但因中标人原因造成除外。</w:t>
            </w:r>
          </w:p>
        </w:tc>
      </w:tr>
      <w:tr w14:paraId="399A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0D1C794B">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35" w:type="pct"/>
            <w:vAlign w:val="center"/>
          </w:tcPr>
          <w:p w14:paraId="52384EA0">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包装和运输</w:t>
            </w:r>
          </w:p>
        </w:tc>
        <w:tc>
          <w:tcPr>
            <w:tcW w:w="3385" w:type="pct"/>
            <w:vAlign w:val="center"/>
          </w:tcPr>
          <w:p w14:paraId="7837D43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符合国家标准、行业规范和合同等相关文件的要求。</w:t>
            </w:r>
          </w:p>
        </w:tc>
      </w:tr>
      <w:tr w14:paraId="349F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56FB509D">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35" w:type="pct"/>
            <w:vAlign w:val="center"/>
          </w:tcPr>
          <w:p w14:paraId="6FE4D268">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安装调试</w:t>
            </w:r>
          </w:p>
        </w:tc>
        <w:tc>
          <w:tcPr>
            <w:tcW w:w="3385" w:type="pct"/>
            <w:vAlign w:val="center"/>
          </w:tcPr>
          <w:p w14:paraId="5A8F2BB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spacing w:val="-3"/>
                <w:sz w:val="24"/>
                <w:szCs w:val="24"/>
              </w:rPr>
            </w:pPr>
            <w:r>
              <w:rPr>
                <w:rFonts w:hint="eastAsia" w:ascii="宋体" w:hAnsi="宋体" w:eastAsia="宋体" w:cs="宋体"/>
                <w:color w:val="auto"/>
                <w:sz w:val="24"/>
                <w:szCs w:val="24"/>
              </w:rPr>
              <w:t>符合国家标准、行业规范和合同等相关文件的要求。</w:t>
            </w:r>
          </w:p>
        </w:tc>
      </w:tr>
      <w:tr w14:paraId="01F7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579" w:type="pct"/>
            <w:vAlign w:val="center"/>
          </w:tcPr>
          <w:p w14:paraId="6688F9B3">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35" w:type="pct"/>
            <w:vAlign w:val="center"/>
          </w:tcPr>
          <w:p w14:paraId="769F4892">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试用期</w:t>
            </w:r>
          </w:p>
        </w:tc>
        <w:tc>
          <w:tcPr>
            <w:tcW w:w="3385" w:type="pct"/>
            <w:vAlign w:val="center"/>
          </w:tcPr>
          <w:p w14:paraId="3508C8BF">
            <w:pPr>
              <w:pStyle w:val="11"/>
              <w:rPr>
                <w:rFonts w:hint="eastAsia" w:ascii="宋体" w:hAnsi="宋体" w:eastAsia="宋体" w:cs="宋体"/>
                <w:color w:val="auto"/>
                <w:sz w:val="24"/>
                <w:szCs w:val="24"/>
              </w:rPr>
            </w:pPr>
            <w:r>
              <w:rPr>
                <w:rFonts w:hint="eastAsia" w:ascii="宋体" w:hAnsi="宋体" w:eastAsia="宋体" w:cs="宋体"/>
                <w:color w:val="auto"/>
                <w:sz w:val="24"/>
                <w:szCs w:val="24"/>
              </w:rPr>
              <w:t>全部货物的供货、安装、调试</w:t>
            </w:r>
            <w:r>
              <w:rPr>
                <w:rFonts w:hint="eastAsia" w:ascii="宋体" w:hAnsi="宋体" w:eastAsia="宋体" w:cs="宋体"/>
                <w:sz w:val="24"/>
                <w:szCs w:val="24"/>
                <w:lang w:val="en-US" w:eastAsia="zh-CN"/>
              </w:rPr>
              <w:t>完成</w:t>
            </w:r>
            <w:r>
              <w:rPr>
                <w:rFonts w:hint="eastAsia" w:ascii="宋体" w:hAnsi="宋体" w:eastAsia="宋体" w:cs="宋体"/>
                <w:color w:val="auto"/>
                <w:sz w:val="24"/>
                <w:szCs w:val="24"/>
              </w:rPr>
              <w:t>后</w:t>
            </w:r>
            <w:r>
              <w:rPr>
                <w:rFonts w:hint="eastAsia" w:ascii="宋体" w:hAnsi="宋体" w:eastAsia="宋体" w:cs="宋体"/>
                <w:color w:val="auto"/>
                <w:sz w:val="24"/>
                <w:szCs w:val="24"/>
                <w:u w:val="single"/>
                <w:lang w:val="en-US" w:eastAsia="zh-CN"/>
              </w:rPr>
              <w:t>7</w:t>
            </w:r>
            <w:r>
              <w:rPr>
                <w:rFonts w:hint="eastAsia" w:ascii="宋体" w:hAnsi="宋体" w:eastAsia="宋体" w:cs="宋体"/>
                <w:color w:val="auto"/>
                <w:sz w:val="24"/>
                <w:szCs w:val="24"/>
              </w:rPr>
              <w:t>个日历日</w:t>
            </w:r>
          </w:p>
        </w:tc>
      </w:tr>
      <w:tr w14:paraId="0850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665EAA6C">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035" w:type="pct"/>
            <w:vAlign w:val="center"/>
          </w:tcPr>
          <w:p w14:paraId="7240D3A1">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项目验收</w:t>
            </w:r>
          </w:p>
        </w:tc>
        <w:tc>
          <w:tcPr>
            <w:tcW w:w="3385" w:type="pct"/>
            <w:vAlign w:val="center"/>
          </w:tcPr>
          <w:p w14:paraId="5E1FA49B">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1.中标（成交）供应商在交货及验收活动中，必须遵守采购人的有关规定。</w:t>
            </w:r>
          </w:p>
          <w:p w14:paraId="63E24803">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2.中标（成交）供应商负责将本次采购产品运抵采购人指定的交货地点，之后由采购人严格按照合同、响应文件及答疑记录进行验收。</w:t>
            </w:r>
          </w:p>
          <w:p w14:paraId="404DA3B3">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3.验收：试运行期结束后，采购人在收到中标（成交）供应商书面验收通知后，应尽快组织相关人员依照相关标准、规范、要求、合同及有关附件进行验收。</w:t>
            </w:r>
          </w:p>
          <w:p w14:paraId="78970DA2">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4.相关检验检测和验收费用，全部由中标（成交）供应商承担。</w:t>
            </w:r>
          </w:p>
        </w:tc>
      </w:tr>
      <w:tr w14:paraId="156C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60EF6572">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035" w:type="pct"/>
            <w:vAlign w:val="center"/>
          </w:tcPr>
          <w:p w14:paraId="40D0F87F">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付款条件</w:t>
            </w:r>
          </w:p>
          <w:p w14:paraId="08F444DA">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（进度和方式）</w:t>
            </w:r>
          </w:p>
        </w:tc>
        <w:tc>
          <w:tcPr>
            <w:tcW w:w="3385" w:type="pct"/>
            <w:vAlign w:val="center"/>
          </w:tcPr>
          <w:p w14:paraId="0642A76A">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z w:val="24"/>
                <w:szCs w:val="24"/>
                <w:highlight w:val="none"/>
              </w:rPr>
              <w:t>货物安装调试、试用并经验收合格后，中标（成交）供应商向采购人提供发票等有效凭证，采购人</w:t>
            </w:r>
            <w:r>
              <w:rPr>
                <w:rFonts w:hint="eastAsia" w:ascii="宋体" w:hAnsi="宋体" w:eastAsia="宋体" w:cs="宋体"/>
                <w:color w:val="auto"/>
                <w:sz w:val="24"/>
                <w:szCs w:val="24"/>
                <w:highlight w:val="none"/>
                <w:lang w:val="en-US" w:eastAsia="zh-CN"/>
              </w:rPr>
              <w:t>于10个工作日内</w:t>
            </w:r>
            <w:r>
              <w:rPr>
                <w:rFonts w:hint="eastAsia" w:ascii="宋体" w:hAnsi="宋体" w:eastAsia="宋体" w:cs="宋体"/>
                <w:color w:val="auto"/>
                <w:sz w:val="24"/>
                <w:szCs w:val="24"/>
                <w:highlight w:val="none"/>
              </w:rPr>
              <w:t xml:space="preserve">向中标（成交）供应商支付100%合同款。   </w:t>
            </w:r>
          </w:p>
        </w:tc>
      </w:tr>
      <w:tr w14:paraId="3C49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4FCA5669">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035" w:type="pct"/>
            <w:vAlign w:val="center"/>
          </w:tcPr>
          <w:p w14:paraId="0AFD491E">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售后服务</w:t>
            </w:r>
          </w:p>
        </w:tc>
        <w:tc>
          <w:tcPr>
            <w:tcW w:w="3385" w:type="pct"/>
            <w:vAlign w:val="center"/>
          </w:tcPr>
          <w:p w14:paraId="0B5B8D16">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1.必须提供自所响应货物、服务通过最终验收合格、</w:t>
            </w:r>
            <w:bookmarkStart w:id="26" w:name="_GoBack"/>
            <w:bookmarkEnd w:id="26"/>
            <w:r>
              <w:rPr>
                <w:rFonts w:hint="eastAsia" w:ascii="宋体" w:hAnsi="宋体" w:eastAsia="宋体" w:cs="宋体"/>
                <w:color w:val="auto"/>
                <w:sz w:val="24"/>
                <w:szCs w:val="24"/>
                <w:lang w:eastAsia="zh-CN"/>
              </w:rPr>
              <w:t>签署验收报告之日起</w:t>
            </w:r>
            <w:r>
              <w:rPr>
                <w:rFonts w:hint="eastAsia" w:ascii="宋体" w:hAnsi="宋体" w:eastAsia="宋体" w:cs="宋体"/>
                <w:color w:val="auto"/>
                <w:sz w:val="24"/>
                <w:szCs w:val="24"/>
                <w:u w:val="single"/>
                <w:lang w:val="en-US" w:eastAsia="zh-CN"/>
              </w:rPr>
              <w:t>36</w:t>
            </w:r>
            <w:r>
              <w:rPr>
                <w:rFonts w:hint="eastAsia" w:ascii="宋体" w:hAnsi="宋体" w:eastAsia="宋体" w:cs="宋体"/>
                <w:color w:val="auto"/>
                <w:sz w:val="24"/>
                <w:szCs w:val="24"/>
                <w:lang w:eastAsia="zh-CN"/>
              </w:rPr>
              <w:t>个月的质量保证期，</w:t>
            </w:r>
            <w:r>
              <w:rPr>
                <w:rStyle w:val="35"/>
                <w:rFonts w:hint="eastAsia" w:ascii="宋体" w:hAnsi="宋体" w:eastAsia="宋体" w:cs="宋体"/>
                <w:color w:val="auto"/>
                <w:sz w:val="24"/>
                <w:szCs w:val="24"/>
              </w:rPr>
              <w:t>软件提供至少</w:t>
            </w:r>
            <w:r>
              <w:rPr>
                <w:rFonts w:hint="eastAsia" w:ascii="宋体" w:hAnsi="宋体" w:eastAsia="宋体" w:cs="宋体"/>
                <w:color w:val="auto"/>
                <w:sz w:val="24"/>
                <w:szCs w:val="24"/>
                <w:u w:val="single"/>
                <w:lang w:val="en-US" w:eastAsia="zh-CN"/>
              </w:rPr>
              <w:t>60</w:t>
            </w:r>
            <w:r>
              <w:rPr>
                <w:rStyle w:val="35"/>
                <w:rFonts w:hint="eastAsia" w:ascii="宋体" w:hAnsi="宋体" w:eastAsia="宋体" w:cs="宋体"/>
                <w:color w:val="auto"/>
                <w:sz w:val="24"/>
                <w:szCs w:val="24"/>
                <w:lang w:val="en-US" w:eastAsia="zh-CN"/>
              </w:rPr>
              <w:t>个月的</w:t>
            </w:r>
            <w:r>
              <w:rPr>
                <w:rStyle w:val="35"/>
                <w:rFonts w:hint="eastAsia" w:ascii="宋体" w:hAnsi="宋体" w:eastAsia="宋体" w:cs="宋体"/>
                <w:color w:val="auto"/>
                <w:sz w:val="24"/>
                <w:szCs w:val="24"/>
              </w:rPr>
              <w:t>升级服务</w:t>
            </w:r>
            <w:r>
              <w:rPr>
                <w:rStyle w:val="35"/>
                <w:rFonts w:hint="eastAsia" w:ascii="宋体" w:hAnsi="宋体" w:eastAsia="宋体" w:cs="宋体"/>
                <w:color w:val="auto"/>
                <w:sz w:val="24"/>
                <w:szCs w:val="24"/>
                <w:lang w:eastAsia="zh-CN"/>
              </w:rPr>
              <w:t>，</w:t>
            </w:r>
            <w:r>
              <w:rPr>
                <w:rFonts w:hint="eastAsia" w:ascii="宋体" w:hAnsi="宋体" w:eastAsia="宋体" w:cs="宋体"/>
                <w:color w:val="auto"/>
                <w:sz w:val="24"/>
                <w:szCs w:val="24"/>
                <w:lang w:eastAsia="zh-CN"/>
              </w:rPr>
              <w:t>在本项目承诺的质量保证期内实行“三包”服务。</w:t>
            </w:r>
          </w:p>
          <w:p w14:paraId="6E6EF181">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2.维修响应时间：质量保证期间，提供7*24小时的电话故障服务受理。必要时，</w:t>
            </w:r>
            <w:r>
              <w:rPr>
                <w:rFonts w:hint="eastAsia" w:ascii="宋体" w:hAnsi="宋体" w:eastAsia="宋体" w:cs="宋体"/>
                <w:color w:val="auto"/>
                <w:sz w:val="24"/>
                <w:szCs w:val="24"/>
                <w:lang w:val="en-US" w:eastAsia="zh-CN"/>
              </w:rPr>
              <w:t>48</w:t>
            </w:r>
            <w:r>
              <w:rPr>
                <w:rFonts w:hint="eastAsia" w:ascii="宋体" w:hAnsi="宋体" w:eastAsia="宋体" w:cs="宋体"/>
                <w:color w:val="auto"/>
                <w:sz w:val="24"/>
                <w:szCs w:val="24"/>
                <w:lang w:eastAsia="zh-CN"/>
              </w:rPr>
              <w:t>小时内到达设备使用现场提供现场支援，在到达货物使用现场后一周内，解决货物使用问题或故障。若使用问题、故障在检修后一周内仍无法解决，中标人需提供不低于故障货物档次的备用货物供采购人使用，直至故障货物修复。</w:t>
            </w:r>
          </w:p>
          <w:p w14:paraId="0B3A5025">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3.技术服务：自最终验收合格之日起3个日历日内，中标（成交）供应商必须将所有相关技术资料（包括但不限于所提供产品的使用说明书、合格证、服务手册等）交采购人留存备案。</w:t>
            </w:r>
          </w:p>
          <w:p w14:paraId="5B81533D">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4.中标（成交）供应商必须对其所提供的货物及采用的相关技术进行现场培训，以满足采购人在日常存储、使用、操作等方面的需求。因培训而产生的一切费用均由中标（成交）供应商承担。</w:t>
            </w:r>
          </w:p>
          <w:p w14:paraId="10AD2C55">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中标（成交）供应商应遵守采购人各项管理制度，服从采购人的安排和管理。安全操作，文明施工，保持环境卫生整洁，货物安装后要做好卫生清理工作，做好安全防范措施，如中标（成交）供应商因违反上述约定造成采购人人身、财产损害的，由中标（成交）供应商承担赔偿责任，同时中标（成交）供应商在合同履行过程中发生的任何人身伤亡事故，均由中标（成交）供应商承担一切法律责任及赔偿责任。</w:t>
            </w:r>
          </w:p>
          <w:p w14:paraId="7ADB74DA">
            <w:pPr>
              <w:pStyle w:val="3"/>
              <w:keepNext w:val="0"/>
              <w:keepLines w:val="0"/>
              <w:pageBreakBefore w:val="0"/>
              <w:widowControl w:val="0"/>
              <w:kinsoku/>
              <w:wordWrap/>
              <w:overflowPunct/>
              <w:topLinePunct w:val="0"/>
              <w:autoSpaceDE/>
              <w:autoSpaceDN/>
              <w:bidi w:val="0"/>
              <w:adjustRightInd w:val="0"/>
              <w:snapToGrid w:val="0"/>
              <w:spacing w:line="460" w:lineRule="exact"/>
              <w:ind w:left="0" w:leftChars="0" w:firstLine="0" w:firstLineChars="0"/>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定期巡检：质保期内每</w:t>
            </w:r>
            <w:r>
              <w:rPr>
                <w:rFonts w:hint="eastAsia" w:ascii="宋体" w:hAnsi="宋体" w:eastAsia="宋体" w:cs="宋体"/>
                <w:color w:val="auto"/>
                <w:sz w:val="24"/>
                <w:szCs w:val="24"/>
                <w:lang w:val="en-US" w:eastAsia="zh-CN"/>
              </w:rPr>
              <w:t>年</w:t>
            </w:r>
            <w:r>
              <w:rPr>
                <w:rFonts w:hint="eastAsia" w:ascii="宋体" w:hAnsi="宋体" w:eastAsia="宋体" w:cs="宋体"/>
                <w:color w:val="auto"/>
                <w:sz w:val="24"/>
                <w:szCs w:val="24"/>
                <w:lang w:eastAsia="zh-CN"/>
              </w:rPr>
              <w:t>至少提供1次巡检维护，出具巡检报告。</w:t>
            </w:r>
          </w:p>
        </w:tc>
      </w:tr>
      <w:tr w14:paraId="5FAF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9" w:type="pct"/>
            <w:vAlign w:val="center"/>
          </w:tcPr>
          <w:p w14:paraId="73015CD4">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0</w:t>
            </w:r>
          </w:p>
        </w:tc>
        <w:tc>
          <w:tcPr>
            <w:tcW w:w="1035" w:type="pct"/>
            <w:vAlign w:val="center"/>
          </w:tcPr>
          <w:p w14:paraId="105C9CF9">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sz w:val="24"/>
                <w:szCs w:val="24"/>
              </w:rPr>
              <w:t>其他</w:t>
            </w:r>
          </w:p>
        </w:tc>
        <w:tc>
          <w:tcPr>
            <w:tcW w:w="3385" w:type="pct"/>
            <w:vAlign w:val="center"/>
          </w:tcPr>
          <w:p w14:paraId="7F562CA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baseline"/>
              <w:rPr>
                <w:rFonts w:hint="eastAsia" w:ascii="宋体" w:hAnsi="宋体" w:eastAsia="宋体" w:cs="宋体"/>
                <w:i/>
                <w:color w:val="auto"/>
                <w:spacing w:val="-3"/>
                <w:sz w:val="24"/>
                <w:szCs w:val="24"/>
              </w:rPr>
            </w:pPr>
            <w:r>
              <w:rPr>
                <w:rFonts w:hint="eastAsia" w:ascii="宋体" w:hAnsi="宋体" w:eastAsia="宋体" w:cs="宋体"/>
                <w:iCs/>
                <w:color w:val="auto"/>
                <w:spacing w:val="-3"/>
                <w:sz w:val="24"/>
                <w:szCs w:val="24"/>
              </w:rPr>
              <w:t>中标（成交）供应商需向采购人提供不少于</w:t>
            </w:r>
            <w:r>
              <w:rPr>
                <w:rFonts w:hint="eastAsia" w:ascii="宋体" w:hAnsi="宋体" w:eastAsia="宋体" w:cs="宋体"/>
                <w:iCs/>
                <w:color w:val="auto"/>
                <w:spacing w:val="-3"/>
                <w:sz w:val="24"/>
                <w:szCs w:val="24"/>
                <w:u w:val="single"/>
              </w:rPr>
              <w:t>1次面向</w:t>
            </w:r>
            <w:r>
              <w:rPr>
                <w:rFonts w:hint="eastAsia" w:ascii="宋体" w:hAnsi="宋体" w:eastAsia="宋体" w:cs="宋体"/>
                <w:iCs/>
                <w:color w:val="auto"/>
                <w:spacing w:val="-3"/>
                <w:sz w:val="24"/>
                <w:szCs w:val="24"/>
              </w:rPr>
              <w:t>全校师生的“科研仪器的使用场景、热点研究方向应用、使用、保养及维护”培训讲座，培训人由行内专家学者或具备资质的工程师担任，具体应用仪器设备类别、时间和培训人数与采购人协商确定，以上培训产生的费用由中标（成交）供应商承担。</w:t>
            </w:r>
          </w:p>
        </w:tc>
      </w:tr>
    </w:tbl>
    <w:p w14:paraId="2D6FF5C6">
      <w:pPr>
        <w:spacing w:line="440" w:lineRule="exact"/>
        <w:rPr>
          <w:rFonts w:hint="eastAsia" w:ascii="仿宋_GB2312" w:hAnsi="宋体" w:eastAsia="仿宋_GB2312"/>
          <w:b/>
          <w:bCs/>
          <w:color w:val="000000"/>
          <w:spacing w:val="2"/>
          <w:sz w:val="28"/>
          <w:szCs w:val="28"/>
        </w:rPr>
      </w:pPr>
      <w:r>
        <w:rPr>
          <w:rFonts w:hint="eastAsia" w:ascii="仿宋_GB2312" w:hAnsi="宋体" w:eastAsia="仿宋_GB2312"/>
          <w:b/>
          <w:bCs/>
          <w:color w:val="000000"/>
          <w:spacing w:val="2"/>
          <w:sz w:val="28"/>
          <w:szCs w:val="28"/>
        </w:rPr>
        <w:t>注：以上所有技术要求和商务</w:t>
      </w:r>
      <w:r>
        <w:rPr>
          <w:rFonts w:hint="eastAsia" w:ascii="仿宋_GB2312" w:hAnsi="宋体" w:eastAsia="仿宋_GB2312"/>
          <w:b/>
          <w:bCs/>
          <w:color w:val="000000"/>
          <w:spacing w:val="2"/>
          <w:sz w:val="28"/>
          <w:szCs w:val="28"/>
          <w:lang w:val="en-US" w:eastAsia="zh-CN"/>
        </w:rPr>
        <w:t>要求</w:t>
      </w:r>
      <w:r>
        <w:rPr>
          <w:rFonts w:hint="eastAsia" w:ascii="仿宋_GB2312" w:hAnsi="宋体" w:eastAsia="仿宋_GB2312"/>
          <w:b/>
          <w:bCs/>
          <w:color w:val="000000"/>
          <w:spacing w:val="2"/>
          <w:sz w:val="28"/>
          <w:szCs w:val="28"/>
        </w:rPr>
        <w:t>必须完全满足，否则视为无效响应。</w:t>
      </w:r>
    </w:p>
    <w:sectPr>
      <w:headerReference r:id="rId3" w:type="default"/>
      <w:footerReference r:id="rId4" w:type="default"/>
      <w:pgSz w:w="11906" w:h="16838"/>
      <w:pgMar w:top="1440" w:right="1440" w:bottom="144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F887F">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5EBD2">
                          <w:pPr>
                            <w:pStyle w:val="16"/>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D5EBD2">
                    <w:pPr>
                      <w:pStyle w:val="16"/>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C8E3B">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2C771E"/>
    <w:multiLevelType w:val="singleLevel"/>
    <w:tmpl w:val="492C771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E5"/>
    <w:rsid w:val="0008476A"/>
    <w:rsid w:val="00095EC1"/>
    <w:rsid w:val="000D3D5E"/>
    <w:rsid w:val="00107157"/>
    <w:rsid w:val="001B263C"/>
    <w:rsid w:val="001C0F5E"/>
    <w:rsid w:val="001C6CDA"/>
    <w:rsid w:val="002018D2"/>
    <w:rsid w:val="00231E71"/>
    <w:rsid w:val="002B3E3B"/>
    <w:rsid w:val="00301D78"/>
    <w:rsid w:val="0031630D"/>
    <w:rsid w:val="003976B6"/>
    <w:rsid w:val="003F1BE3"/>
    <w:rsid w:val="003F2DB3"/>
    <w:rsid w:val="004B20C6"/>
    <w:rsid w:val="004C3526"/>
    <w:rsid w:val="004E6944"/>
    <w:rsid w:val="00551559"/>
    <w:rsid w:val="00551AE5"/>
    <w:rsid w:val="00581CD3"/>
    <w:rsid w:val="005A663B"/>
    <w:rsid w:val="005E7019"/>
    <w:rsid w:val="005F317C"/>
    <w:rsid w:val="00617D56"/>
    <w:rsid w:val="006645E8"/>
    <w:rsid w:val="006660A9"/>
    <w:rsid w:val="00666DEC"/>
    <w:rsid w:val="006E2268"/>
    <w:rsid w:val="0072062A"/>
    <w:rsid w:val="008059B7"/>
    <w:rsid w:val="00934A57"/>
    <w:rsid w:val="00935412"/>
    <w:rsid w:val="00974EF6"/>
    <w:rsid w:val="009A176A"/>
    <w:rsid w:val="009B2FAA"/>
    <w:rsid w:val="009B6C43"/>
    <w:rsid w:val="00A027B4"/>
    <w:rsid w:val="00A05621"/>
    <w:rsid w:val="00A214AC"/>
    <w:rsid w:val="00A465C0"/>
    <w:rsid w:val="00AB2B32"/>
    <w:rsid w:val="00AD4B8E"/>
    <w:rsid w:val="00C13A6E"/>
    <w:rsid w:val="00C86E2F"/>
    <w:rsid w:val="00CC1A25"/>
    <w:rsid w:val="00D451AF"/>
    <w:rsid w:val="00D901AE"/>
    <w:rsid w:val="00DE7A27"/>
    <w:rsid w:val="00F07074"/>
    <w:rsid w:val="00F07705"/>
    <w:rsid w:val="00FC6CB0"/>
    <w:rsid w:val="00FF513C"/>
    <w:rsid w:val="06F370DA"/>
    <w:rsid w:val="0B5E4C4D"/>
    <w:rsid w:val="0F92348D"/>
    <w:rsid w:val="18F7100C"/>
    <w:rsid w:val="374262FD"/>
    <w:rsid w:val="3F8776AC"/>
    <w:rsid w:val="440F195A"/>
    <w:rsid w:val="48F540EA"/>
    <w:rsid w:val="57C66FE1"/>
    <w:rsid w:val="646D5456"/>
    <w:rsid w:val="7A0F0E06"/>
    <w:rsid w:val="7FEA4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4">
    <w:name w:val="heading 1"/>
    <w:basedOn w:val="1"/>
    <w:next w:val="1"/>
    <w:link w:val="37"/>
    <w:autoRedefine/>
    <w:qFormat/>
    <w:uiPriority w:val="0"/>
    <w:pPr>
      <w:keepNext/>
      <w:keepLines/>
      <w:kinsoku w:val="0"/>
      <w:autoSpaceDE w:val="0"/>
      <w:autoSpaceDN w:val="0"/>
      <w:adjustRightInd w:val="0"/>
      <w:snapToGrid w:val="0"/>
      <w:spacing w:line="460" w:lineRule="exact"/>
      <w:jc w:val="center"/>
      <w:textAlignment w:val="baseline"/>
      <w:outlineLvl w:val="0"/>
    </w:pPr>
    <w:rPr>
      <w:rFonts w:ascii="Times New Roman" w:hAnsi="Times New Roman" w:eastAsia="宋体" w:cs="Times New Roman"/>
      <w:b/>
      <w:bCs/>
      <w:snapToGrid w:val="0"/>
      <w:spacing w:val="-1"/>
      <w:kern w:val="44"/>
      <w:sz w:val="32"/>
      <w:szCs w:val="24"/>
      <w:lang w:eastAsia="en-US"/>
      <w14:ligatures w14:val="none"/>
    </w:rPr>
  </w:style>
  <w:style w:type="paragraph" w:styleId="5">
    <w:name w:val="heading 2"/>
    <w:basedOn w:val="1"/>
    <w:next w:val="1"/>
    <w:link w:val="32"/>
    <w:autoRedefine/>
    <w:qFormat/>
    <w:uiPriority w:val="0"/>
    <w:pPr>
      <w:keepNext/>
      <w:keepLines/>
      <w:widowControl/>
      <w:autoSpaceDE w:val="0"/>
      <w:autoSpaceDN w:val="0"/>
      <w:adjustRightInd w:val="0"/>
      <w:snapToGrid w:val="0"/>
      <w:spacing w:line="460" w:lineRule="exact"/>
      <w:textAlignment w:val="baseline"/>
      <w:outlineLvl w:val="1"/>
    </w:pPr>
    <w:rPr>
      <w:rFonts w:ascii="宋体" w:hAnsi="宋体" w:eastAsia="宋体" w:cs="宋体"/>
      <w:b/>
      <w:bCs/>
      <w:snapToGrid w:val="0"/>
      <w:spacing w:val="-7"/>
      <w:kern w:val="0"/>
      <w:sz w:val="28"/>
      <w:szCs w:val="28"/>
      <w14:ligatures w14:val="none"/>
    </w:rPr>
  </w:style>
  <w:style w:type="paragraph" w:styleId="6">
    <w:name w:val="heading 3"/>
    <w:basedOn w:val="1"/>
    <w:next w:val="1"/>
    <w:link w:val="38"/>
    <w:autoRedefine/>
    <w:unhideWhenUsed/>
    <w:qFormat/>
    <w:uiPriority w:val="0"/>
    <w:pPr>
      <w:keepNext/>
      <w:keepLines/>
      <w:widowControl/>
      <w:autoSpaceDE w:val="0"/>
      <w:autoSpaceDN w:val="0"/>
      <w:adjustRightInd w:val="0"/>
      <w:snapToGrid w:val="0"/>
      <w:spacing w:line="460" w:lineRule="exact"/>
      <w:jc w:val="center"/>
      <w:textAlignment w:val="baseline"/>
      <w:outlineLvl w:val="2"/>
    </w:pPr>
    <w:rPr>
      <w:rFonts w:ascii="Times New Roman" w:hAnsi="Times New Roman" w:eastAsia="宋体" w:cs="宋体"/>
      <w:b/>
      <w:snapToGrid w:val="0"/>
      <w:kern w:val="0"/>
      <w:sz w:val="24"/>
      <w:szCs w:val="24"/>
      <w:lang w:eastAsia="en-US"/>
      <w14:ligatures w14:val="none"/>
    </w:rPr>
  </w:style>
  <w:style w:type="paragraph" w:styleId="7">
    <w:name w:val="heading 4"/>
    <w:basedOn w:val="1"/>
    <w:next w:val="1"/>
    <w:link w:val="39"/>
    <w:autoRedefine/>
    <w:unhideWhenUsed/>
    <w:qFormat/>
    <w:uiPriority w:val="0"/>
    <w:pPr>
      <w:keepNext/>
      <w:keepLines/>
      <w:widowControl/>
      <w:kinsoku w:val="0"/>
      <w:autoSpaceDE w:val="0"/>
      <w:autoSpaceDN w:val="0"/>
      <w:adjustRightInd w:val="0"/>
      <w:snapToGrid w:val="0"/>
      <w:spacing w:line="372" w:lineRule="auto"/>
      <w:jc w:val="left"/>
      <w:textAlignment w:val="baseline"/>
      <w:outlineLvl w:val="3"/>
    </w:pPr>
    <w:rPr>
      <w:rFonts w:ascii="Arial" w:hAnsi="Arial" w:eastAsia="黑体" w:cs="宋体"/>
      <w:b/>
      <w:snapToGrid w:val="0"/>
      <w:spacing w:val="-1"/>
      <w:kern w:val="0"/>
      <w:sz w:val="28"/>
      <w:szCs w:val="24"/>
      <w:lang w:eastAsia="en-US"/>
      <w14:ligatures w14:val="none"/>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3"/>
    <w:autoRedefine/>
    <w:qFormat/>
    <w:uiPriority w:val="0"/>
    <w:pPr>
      <w:widowControl/>
      <w:kinsoku w:val="0"/>
      <w:autoSpaceDE w:val="0"/>
      <w:autoSpaceDN w:val="0"/>
      <w:adjustRightInd w:val="0"/>
      <w:snapToGrid w:val="0"/>
      <w:jc w:val="left"/>
      <w:textAlignment w:val="baseline"/>
    </w:pPr>
    <w:rPr>
      <w:rFonts w:ascii="仿宋" w:hAnsi="仿宋" w:eastAsia="仿宋" w:cs="仿宋"/>
      <w:snapToGrid w:val="0"/>
      <w:spacing w:val="-1"/>
      <w:kern w:val="0"/>
      <w:sz w:val="30"/>
      <w:szCs w:val="30"/>
      <w:lang w:eastAsia="en-US"/>
      <w14:ligatures w14:val="none"/>
    </w:rPr>
  </w:style>
  <w:style w:type="paragraph" w:styleId="3">
    <w:name w:val="Body Text First Indent"/>
    <w:basedOn w:val="2"/>
    <w:link w:val="47"/>
    <w:autoRedefine/>
    <w:qFormat/>
    <w:uiPriority w:val="0"/>
    <w:pPr>
      <w:ind w:firstLine="420" w:firstLineChars="100"/>
    </w:pPr>
  </w:style>
  <w:style w:type="paragraph" w:styleId="8">
    <w:name w:val="table of authorities"/>
    <w:basedOn w:val="1"/>
    <w:next w:val="1"/>
    <w:autoRedefine/>
    <w:unhideWhenUsed/>
    <w:qFormat/>
    <w:uiPriority w:val="99"/>
    <w:pPr>
      <w:widowControl/>
      <w:kinsoku w:val="0"/>
      <w:autoSpaceDE w:val="0"/>
      <w:autoSpaceDN w:val="0"/>
      <w:adjustRightInd w:val="0"/>
      <w:snapToGrid w:val="0"/>
      <w:ind w:left="420" w:leftChars="200"/>
      <w:jc w:val="left"/>
      <w:textAlignment w:val="baseline"/>
    </w:pPr>
    <w:rPr>
      <w:rFonts w:ascii="Arial" w:hAnsi="Arial" w:eastAsia="宋体" w:cs="宋体"/>
      <w:snapToGrid w:val="0"/>
      <w:spacing w:val="-1"/>
      <w:kern w:val="0"/>
      <w:sz w:val="24"/>
      <w:szCs w:val="21"/>
      <w:lang w:eastAsia="en-US"/>
      <w14:ligatures w14:val="none"/>
    </w:rPr>
  </w:style>
  <w:style w:type="paragraph" w:styleId="9">
    <w:name w:val="Normal Indent"/>
    <w:basedOn w:val="1"/>
    <w:autoRedefine/>
    <w:qFormat/>
    <w:uiPriority w:val="0"/>
    <w:pPr>
      <w:widowControl/>
      <w:kinsoku w:val="0"/>
      <w:autoSpaceDE w:val="0"/>
      <w:autoSpaceDN w:val="0"/>
      <w:adjustRightInd w:val="0"/>
      <w:snapToGrid w:val="0"/>
      <w:ind w:firstLine="420"/>
      <w:jc w:val="left"/>
      <w:textAlignment w:val="baseline"/>
    </w:pPr>
    <w:rPr>
      <w:rFonts w:ascii="Arial" w:hAnsi="Arial" w:eastAsia="宋体" w:cs="宋体"/>
      <w:snapToGrid w:val="0"/>
      <w:spacing w:val="-1"/>
      <w:kern w:val="0"/>
      <w:sz w:val="20"/>
      <w:szCs w:val="20"/>
      <w:lang w:eastAsia="en-US"/>
      <w14:ligatures w14:val="none"/>
    </w:rPr>
  </w:style>
  <w:style w:type="paragraph" w:styleId="10">
    <w:name w:val="Document Map"/>
    <w:basedOn w:val="1"/>
    <w:link w:val="41"/>
    <w:autoRedefine/>
    <w:qFormat/>
    <w:uiPriority w:val="0"/>
    <w:pPr>
      <w:widowControl/>
      <w:kinsoku w:val="0"/>
      <w:autoSpaceDE w:val="0"/>
      <w:autoSpaceDN w:val="0"/>
      <w:adjustRightInd w:val="0"/>
      <w:snapToGrid w:val="0"/>
      <w:jc w:val="left"/>
      <w:textAlignment w:val="baseline"/>
    </w:pPr>
    <w:rPr>
      <w:rFonts w:ascii="宋体" w:hAnsi="Arial" w:eastAsia="宋体" w:cs="宋体"/>
      <w:snapToGrid w:val="0"/>
      <w:spacing w:val="-1"/>
      <w:kern w:val="0"/>
      <w:sz w:val="18"/>
      <w:szCs w:val="18"/>
      <w:lang w:eastAsia="en-US"/>
      <w14:ligatures w14:val="none"/>
    </w:rPr>
  </w:style>
  <w:style w:type="paragraph" w:styleId="11">
    <w:name w:val="annotation text"/>
    <w:basedOn w:val="1"/>
    <w:link w:val="42"/>
    <w:autoRedefine/>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24"/>
      <w:szCs w:val="24"/>
      <w:lang w:eastAsia="en-US"/>
      <w14:ligatures w14:val="none"/>
    </w:rPr>
  </w:style>
  <w:style w:type="paragraph" w:styleId="12">
    <w:name w:val="Body Text Indent"/>
    <w:basedOn w:val="1"/>
    <w:next w:val="9"/>
    <w:link w:val="33"/>
    <w:autoRedefine/>
    <w:unhideWhenUsed/>
    <w:qFormat/>
    <w:uiPriority w:val="99"/>
    <w:pPr>
      <w:widowControl/>
      <w:kinsoku w:val="0"/>
      <w:autoSpaceDE w:val="0"/>
      <w:autoSpaceDN w:val="0"/>
      <w:adjustRightInd w:val="0"/>
      <w:snapToGrid w:val="0"/>
      <w:spacing w:after="120"/>
      <w:ind w:left="420" w:leftChars="200"/>
      <w:jc w:val="left"/>
      <w:textAlignment w:val="baseline"/>
    </w:pPr>
    <w:rPr>
      <w:rFonts w:ascii="Arial" w:hAnsi="Arial" w:eastAsia="微软雅黑" w:cs="宋体"/>
      <w:snapToGrid w:val="0"/>
      <w:spacing w:val="-1"/>
      <w:kern w:val="0"/>
      <w:sz w:val="24"/>
      <w:szCs w:val="20"/>
      <w:lang w:eastAsia="en-US"/>
      <w14:ligatures w14:val="none"/>
    </w:rPr>
  </w:style>
  <w:style w:type="paragraph" w:styleId="13">
    <w:name w:val="toc 3"/>
    <w:basedOn w:val="1"/>
    <w:next w:val="1"/>
    <w:autoRedefine/>
    <w:qFormat/>
    <w:uiPriority w:val="0"/>
    <w:pPr>
      <w:widowControl/>
      <w:kinsoku w:val="0"/>
      <w:autoSpaceDE w:val="0"/>
      <w:autoSpaceDN w:val="0"/>
      <w:adjustRightInd w:val="0"/>
      <w:snapToGrid w:val="0"/>
      <w:ind w:left="840" w:leftChars="400"/>
      <w:jc w:val="left"/>
      <w:textAlignment w:val="baseline"/>
    </w:pPr>
    <w:rPr>
      <w:rFonts w:ascii="Arial" w:hAnsi="Arial" w:eastAsia="宋体" w:cs="宋体"/>
      <w:snapToGrid w:val="0"/>
      <w:spacing w:val="-1"/>
      <w:kern w:val="0"/>
      <w:sz w:val="24"/>
      <w:szCs w:val="24"/>
      <w:lang w:eastAsia="en-US"/>
      <w14:ligatures w14:val="none"/>
    </w:rPr>
  </w:style>
  <w:style w:type="paragraph" w:styleId="14">
    <w:name w:val="Plain Text"/>
    <w:basedOn w:val="1"/>
    <w:link w:val="45"/>
    <w:autoRedefine/>
    <w:qFormat/>
    <w:uiPriority w:val="0"/>
    <w:pPr>
      <w:widowControl/>
      <w:kinsoku w:val="0"/>
      <w:autoSpaceDE w:val="0"/>
      <w:autoSpaceDN w:val="0"/>
      <w:adjustRightInd w:val="0"/>
      <w:snapToGrid w:val="0"/>
      <w:jc w:val="left"/>
      <w:textAlignment w:val="baseline"/>
    </w:pPr>
    <w:rPr>
      <w:rFonts w:ascii="宋体" w:hAnsi="Courier New" w:eastAsia="宋体" w:cs="宋体"/>
      <w:snapToGrid w:val="0"/>
      <w:spacing w:val="-1"/>
      <w:kern w:val="0"/>
      <w:sz w:val="20"/>
      <w:szCs w:val="21"/>
      <w:lang w:eastAsia="en-US"/>
      <w14:ligatures w14:val="none"/>
    </w:rPr>
  </w:style>
  <w:style w:type="paragraph" w:styleId="15">
    <w:name w:val="Balloon Text"/>
    <w:basedOn w:val="1"/>
    <w:link w:val="46"/>
    <w:autoRedefine/>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18"/>
      <w:szCs w:val="18"/>
      <w:lang w:eastAsia="en-US"/>
      <w14:ligatures w14:val="none"/>
    </w:rPr>
  </w:style>
  <w:style w:type="paragraph" w:styleId="16">
    <w:name w:val="footer"/>
    <w:basedOn w:val="1"/>
    <w:link w:val="31"/>
    <w:unhideWhenUsed/>
    <w:qFormat/>
    <w:uiPriority w:val="0"/>
    <w:pPr>
      <w:tabs>
        <w:tab w:val="center" w:pos="4153"/>
        <w:tab w:val="right" w:pos="8306"/>
      </w:tabs>
      <w:snapToGrid w:val="0"/>
      <w:jc w:val="left"/>
    </w:pPr>
    <w:rPr>
      <w:sz w:val="18"/>
      <w:szCs w:val="18"/>
    </w:rPr>
  </w:style>
  <w:style w:type="paragraph" w:styleId="17">
    <w:name w:val="header"/>
    <w:basedOn w:val="1"/>
    <w:link w:val="30"/>
    <w:unhideWhenUsed/>
    <w:qFormat/>
    <w:uiPriority w:val="0"/>
    <w:pPr>
      <w:tabs>
        <w:tab w:val="center" w:pos="4153"/>
        <w:tab w:val="right" w:pos="8306"/>
      </w:tabs>
      <w:snapToGrid w:val="0"/>
      <w:jc w:val="center"/>
    </w:pPr>
    <w:rPr>
      <w:sz w:val="18"/>
      <w:szCs w:val="18"/>
    </w:rPr>
  </w:style>
  <w:style w:type="paragraph" w:styleId="18">
    <w:name w:val="toc 1"/>
    <w:basedOn w:val="1"/>
    <w:next w:val="1"/>
    <w:autoRedefine/>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24"/>
      <w:szCs w:val="24"/>
      <w:lang w:eastAsia="en-US"/>
      <w14:ligatures w14:val="none"/>
    </w:rPr>
  </w:style>
  <w:style w:type="paragraph" w:styleId="19">
    <w:name w:val="Subtitle"/>
    <w:basedOn w:val="1"/>
    <w:next w:val="1"/>
    <w:link w:val="44"/>
    <w:autoRedefine/>
    <w:qFormat/>
    <w:uiPriority w:val="0"/>
    <w:pPr>
      <w:widowControl/>
      <w:kinsoku w:val="0"/>
      <w:autoSpaceDE w:val="0"/>
      <w:autoSpaceDN w:val="0"/>
      <w:adjustRightInd w:val="0"/>
      <w:snapToGrid w:val="0"/>
      <w:spacing w:before="240" w:after="60" w:line="312" w:lineRule="auto"/>
      <w:jc w:val="center"/>
      <w:textAlignment w:val="baseline"/>
      <w:outlineLvl w:val="1"/>
    </w:pPr>
    <w:rPr>
      <w:rFonts w:ascii="Cambria" w:hAnsi="Cambria" w:eastAsia="宋体" w:cs="宋体"/>
      <w:b/>
      <w:bCs/>
      <w:snapToGrid w:val="0"/>
      <w:spacing w:val="-1"/>
      <w:kern w:val="28"/>
      <w:sz w:val="32"/>
      <w:szCs w:val="32"/>
      <w:lang w:eastAsia="en-US"/>
      <w14:ligatures w14:val="none"/>
    </w:rPr>
  </w:style>
  <w:style w:type="paragraph" w:styleId="20">
    <w:name w:val="toc 2"/>
    <w:basedOn w:val="1"/>
    <w:next w:val="1"/>
    <w:autoRedefine/>
    <w:qFormat/>
    <w:uiPriority w:val="0"/>
    <w:pPr>
      <w:widowControl/>
      <w:kinsoku w:val="0"/>
      <w:autoSpaceDE w:val="0"/>
      <w:autoSpaceDN w:val="0"/>
      <w:adjustRightInd w:val="0"/>
      <w:snapToGrid w:val="0"/>
      <w:ind w:left="420" w:leftChars="200"/>
      <w:jc w:val="left"/>
      <w:textAlignment w:val="baseline"/>
    </w:pPr>
    <w:rPr>
      <w:rFonts w:ascii="Arial" w:hAnsi="Arial" w:eastAsia="宋体" w:cs="宋体"/>
      <w:snapToGrid w:val="0"/>
      <w:spacing w:val="-1"/>
      <w:kern w:val="0"/>
      <w:sz w:val="24"/>
      <w:szCs w:val="24"/>
      <w:lang w:eastAsia="en-US"/>
      <w14:ligatures w14:val="none"/>
    </w:rPr>
  </w:style>
  <w:style w:type="paragraph" w:styleId="21">
    <w:name w:val="Normal (Web)"/>
    <w:basedOn w:val="1"/>
    <w:autoRedefine/>
    <w:qFormat/>
    <w:uiPriority w:val="0"/>
    <w:pPr>
      <w:widowControl/>
      <w:kinsoku w:val="0"/>
      <w:autoSpaceDE w:val="0"/>
      <w:autoSpaceDN w:val="0"/>
      <w:adjustRightInd w:val="0"/>
      <w:snapToGrid w:val="0"/>
      <w:spacing w:before="100" w:beforeAutospacing="1" w:after="100" w:afterAutospacing="1"/>
      <w:jc w:val="left"/>
      <w:textAlignment w:val="baseline"/>
    </w:pPr>
    <w:rPr>
      <w:rFonts w:ascii="宋体" w:hAnsi="宋体" w:eastAsia="宋体" w:cs="宋体"/>
      <w:snapToGrid w:val="0"/>
      <w:spacing w:val="-1"/>
      <w:kern w:val="0"/>
      <w:sz w:val="24"/>
      <w:szCs w:val="24"/>
      <w:lang w:eastAsia="en-US"/>
      <w14:ligatures w14:val="none"/>
    </w:rPr>
  </w:style>
  <w:style w:type="paragraph" w:styleId="22">
    <w:name w:val="Body Text First Indent 2"/>
    <w:basedOn w:val="12"/>
    <w:link w:val="36"/>
    <w:unhideWhenUsed/>
    <w:qFormat/>
    <w:uiPriority w:val="0"/>
    <w:pPr>
      <w:widowControl w:val="0"/>
      <w:kinsoku/>
      <w:autoSpaceDE/>
      <w:autoSpaceDN/>
      <w:adjustRightInd/>
      <w:snapToGrid/>
      <w:ind w:firstLine="420" w:firstLineChars="200"/>
      <w:jc w:val="both"/>
      <w:textAlignment w:val="auto"/>
    </w:pPr>
    <w:rPr>
      <w:rFonts w:asciiTheme="minorHAnsi" w:hAnsiTheme="minorHAnsi" w:eastAsiaTheme="minorEastAsia" w:cstheme="minorBidi"/>
      <w:snapToGrid/>
      <w:spacing w:val="0"/>
      <w:kern w:val="2"/>
      <w:sz w:val="21"/>
      <w:szCs w:val="22"/>
      <w:lang w:eastAsia="zh-CN"/>
      <w14:ligatures w14:val="standardContextual"/>
    </w:rPr>
  </w:style>
  <w:style w:type="table" w:styleId="24">
    <w:name w:val="Table Grid"/>
    <w:basedOn w:val="23"/>
    <w:autoRedefine/>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Emphasis"/>
    <w:autoRedefine/>
    <w:qFormat/>
    <w:uiPriority w:val="0"/>
  </w:style>
  <w:style w:type="character" w:styleId="28">
    <w:name w:val="Hyperlink"/>
    <w:basedOn w:val="25"/>
    <w:autoRedefine/>
    <w:qFormat/>
    <w:uiPriority w:val="0"/>
    <w:rPr>
      <w:color w:val="0000FF"/>
      <w:u w:val="single"/>
    </w:rPr>
  </w:style>
  <w:style w:type="character" w:styleId="29">
    <w:name w:val="annotation reference"/>
    <w:autoRedefine/>
    <w:unhideWhenUsed/>
    <w:qFormat/>
    <w:uiPriority w:val="0"/>
    <w:rPr>
      <w:sz w:val="21"/>
      <w:szCs w:val="21"/>
    </w:rPr>
  </w:style>
  <w:style w:type="character" w:customStyle="1" w:styleId="30">
    <w:name w:val="页眉 字符"/>
    <w:basedOn w:val="25"/>
    <w:link w:val="17"/>
    <w:qFormat/>
    <w:uiPriority w:val="99"/>
    <w:rPr>
      <w:sz w:val="18"/>
      <w:szCs w:val="18"/>
    </w:rPr>
  </w:style>
  <w:style w:type="character" w:customStyle="1" w:styleId="31">
    <w:name w:val="页脚 字符"/>
    <w:basedOn w:val="25"/>
    <w:link w:val="16"/>
    <w:qFormat/>
    <w:uiPriority w:val="99"/>
    <w:rPr>
      <w:sz w:val="18"/>
      <w:szCs w:val="18"/>
    </w:rPr>
  </w:style>
  <w:style w:type="character" w:customStyle="1" w:styleId="32">
    <w:name w:val="标题 2 字符"/>
    <w:basedOn w:val="25"/>
    <w:link w:val="5"/>
    <w:qFormat/>
    <w:uiPriority w:val="0"/>
    <w:rPr>
      <w:rFonts w:ascii="宋体" w:hAnsi="宋体" w:eastAsia="宋体" w:cs="宋体"/>
      <w:b/>
      <w:bCs/>
      <w:snapToGrid w:val="0"/>
      <w:spacing w:val="-7"/>
      <w:kern w:val="0"/>
      <w:sz w:val="28"/>
      <w:szCs w:val="28"/>
      <w14:ligatures w14:val="none"/>
    </w:rPr>
  </w:style>
  <w:style w:type="character" w:customStyle="1" w:styleId="33">
    <w:name w:val="正文文本缩进 字符"/>
    <w:basedOn w:val="25"/>
    <w:link w:val="12"/>
    <w:qFormat/>
    <w:uiPriority w:val="99"/>
    <w:rPr>
      <w:rFonts w:ascii="Arial" w:hAnsi="Arial" w:eastAsia="微软雅黑" w:cs="宋体"/>
      <w:snapToGrid w:val="0"/>
      <w:spacing w:val="-1"/>
      <w:kern w:val="0"/>
      <w:sz w:val="24"/>
      <w:szCs w:val="20"/>
      <w:lang w:eastAsia="en-US"/>
      <w14:ligatures w14:val="none"/>
    </w:rPr>
  </w:style>
  <w:style w:type="paragraph" w:customStyle="1" w:styleId="34">
    <w:name w:val="Normal Indent1"/>
    <w:basedOn w:val="1"/>
    <w:autoRedefine/>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宋体"/>
      <w:snapToGrid w:val="0"/>
      <w:spacing w:val="-1"/>
      <w:kern w:val="0"/>
      <w:sz w:val="24"/>
      <w:szCs w:val="24"/>
      <w:lang w:eastAsia="en-US"/>
      <w14:ligatures w14:val="none"/>
    </w:rPr>
  </w:style>
  <w:style w:type="character" w:customStyle="1" w:styleId="35">
    <w:name w:val="zisiblack2"/>
    <w:autoRedefine/>
    <w:qFormat/>
    <w:uiPriority w:val="99"/>
    <w:rPr>
      <w:rFonts w:cs="Times New Roman"/>
    </w:rPr>
  </w:style>
  <w:style w:type="character" w:customStyle="1" w:styleId="36">
    <w:name w:val="正文文本首行缩进 2 字符"/>
    <w:basedOn w:val="33"/>
    <w:link w:val="22"/>
    <w:semiHidden/>
    <w:qFormat/>
    <w:uiPriority w:val="99"/>
    <w:rPr>
      <w:rFonts w:ascii="Arial" w:hAnsi="Arial" w:eastAsia="微软雅黑" w:cs="宋体"/>
      <w:snapToGrid/>
      <w:spacing w:val="-1"/>
      <w:kern w:val="0"/>
      <w:sz w:val="24"/>
      <w:szCs w:val="20"/>
      <w:lang w:eastAsia="en-US"/>
      <w14:ligatures w14:val="none"/>
    </w:rPr>
  </w:style>
  <w:style w:type="character" w:customStyle="1" w:styleId="37">
    <w:name w:val="标题 1 字符"/>
    <w:basedOn w:val="25"/>
    <w:link w:val="4"/>
    <w:qFormat/>
    <w:uiPriority w:val="0"/>
    <w:rPr>
      <w:rFonts w:ascii="Times New Roman" w:hAnsi="Times New Roman" w:eastAsia="宋体" w:cs="Times New Roman"/>
      <w:b/>
      <w:bCs/>
      <w:snapToGrid w:val="0"/>
      <w:spacing w:val="-1"/>
      <w:kern w:val="44"/>
      <w:sz w:val="32"/>
      <w:szCs w:val="24"/>
      <w:lang w:eastAsia="en-US"/>
      <w14:ligatures w14:val="none"/>
    </w:rPr>
  </w:style>
  <w:style w:type="character" w:customStyle="1" w:styleId="38">
    <w:name w:val="标题 3 字符"/>
    <w:basedOn w:val="25"/>
    <w:link w:val="6"/>
    <w:qFormat/>
    <w:uiPriority w:val="0"/>
    <w:rPr>
      <w:rFonts w:ascii="Times New Roman" w:hAnsi="Times New Roman" w:eastAsia="宋体" w:cs="宋体"/>
      <w:b/>
      <w:snapToGrid w:val="0"/>
      <w:kern w:val="0"/>
      <w:sz w:val="24"/>
      <w:szCs w:val="24"/>
      <w:lang w:eastAsia="en-US"/>
      <w14:ligatures w14:val="none"/>
    </w:rPr>
  </w:style>
  <w:style w:type="character" w:customStyle="1" w:styleId="39">
    <w:name w:val="标题 4 字符"/>
    <w:basedOn w:val="25"/>
    <w:link w:val="7"/>
    <w:qFormat/>
    <w:uiPriority w:val="0"/>
    <w:rPr>
      <w:rFonts w:ascii="Arial" w:hAnsi="Arial" w:eastAsia="黑体" w:cs="宋体"/>
      <w:b/>
      <w:snapToGrid w:val="0"/>
      <w:spacing w:val="-1"/>
      <w:kern w:val="0"/>
      <w:sz w:val="28"/>
      <w:szCs w:val="24"/>
      <w:lang w:eastAsia="en-US"/>
      <w14:ligatures w14:val="none"/>
    </w:rPr>
  </w:style>
  <w:style w:type="paragraph" w:customStyle="1" w:styleId="40">
    <w:name w:val="正文缩进1"/>
    <w:basedOn w:val="1"/>
    <w:autoRedefine/>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宋体"/>
      <w:snapToGrid w:val="0"/>
      <w:spacing w:val="-1"/>
      <w:kern w:val="0"/>
      <w:sz w:val="24"/>
      <w:szCs w:val="24"/>
      <w:lang w:eastAsia="en-US"/>
      <w14:ligatures w14:val="none"/>
    </w:rPr>
  </w:style>
  <w:style w:type="character" w:customStyle="1" w:styleId="41">
    <w:name w:val="文档结构图 字符"/>
    <w:basedOn w:val="25"/>
    <w:link w:val="10"/>
    <w:qFormat/>
    <w:uiPriority w:val="0"/>
    <w:rPr>
      <w:rFonts w:ascii="宋体" w:hAnsi="Arial" w:eastAsia="宋体" w:cs="宋体"/>
      <w:snapToGrid w:val="0"/>
      <w:spacing w:val="-1"/>
      <w:kern w:val="0"/>
      <w:sz w:val="18"/>
      <w:szCs w:val="18"/>
      <w:lang w:eastAsia="en-US"/>
      <w14:ligatures w14:val="none"/>
    </w:rPr>
  </w:style>
  <w:style w:type="character" w:customStyle="1" w:styleId="42">
    <w:name w:val="批注文字 字符"/>
    <w:basedOn w:val="25"/>
    <w:link w:val="11"/>
    <w:qFormat/>
    <w:uiPriority w:val="0"/>
    <w:rPr>
      <w:rFonts w:ascii="Arial" w:hAnsi="Arial" w:eastAsia="宋体" w:cs="宋体"/>
      <w:snapToGrid w:val="0"/>
      <w:spacing w:val="-1"/>
      <w:kern w:val="0"/>
      <w:sz w:val="24"/>
      <w:szCs w:val="24"/>
      <w:lang w:eastAsia="en-US"/>
      <w14:ligatures w14:val="none"/>
    </w:rPr>
  </w:style>
  <w:style w:type="character" w:customStyle="1" w:styleId="43">
    <w:name w:val="正文文本 字符"/>
    <w:basedOn w:val="25"/>
    <w:link w:val="2"/>
    <w:qFormat/>
    <w:uiPriority w:val="0"/>
    <w:rPr>
      <w:rFonts w:ascii="仿宋" w:hAnsi="仿宋" w:eastAsia="仿宋" w:cs="仿宋"/>
      <w:snapToGrid w:val="0"/>
      <w:spacing w:val="-1"/>
      <w:kern w:val="0"/>
      <w:sz w:val="30"/>
      <w:szCs w:val="30"/>
      <w:lang w:eastAsia="en-US"/>
      <w14:ligatures w14:val="none"/>
    </w:rPr>
  </w:style>
  <w:style w:type="character" w:customStyle="1" w:styleId="44">
    <w:name w:val="副标题 字符"/>
    <w:basedOn w:val="25"/>
    <w:link w:val="19"/>
    <w:qFormat/>
    <w:uiPriority w:val="0"/>
    <w:rPr>
      <w:rFonts w:ascii="Cambria" w:hAnsi="Cambria" w:eastAsia="宋体" w:cs="宋体"/>
      <w:b/>
      <w:bCs/>
      <w:snapToGrid w:val="0"/>
      <w:spacing w:val="-1"/>
      <w:kern w:val="28"/>
      <w:sz w:val="32"/>
      <w:szCs w:val="32"/>
      <w:lang w:eastAsia="en-US"/>
      <w14:ligatures w14:val="none"/>
    </w:rPr>
  </w:style>
  <w:style w:type="character" w:customStyle="1" w:styleId="45">
    <w:name w:val="纯文本 字符"/>
    <w:basedOn w:val="25"/>
    <w:link w:val="14"/>
    <w:qFormat/>
    <w:uiPriority w:val="0"/>
    <w:rPr>
      <w:rFonts w:ascii="宋体" w:hAnsi="Courier New" w:eastAsia="宋体" w:cs="宋体"/>
      <w:snapToGrid w:val="0"/>
      <w:spacing w:val="-1"/>
      <w:kern w:val="0"/>
      <w:sz w:val="20"/>
      <w:szCs w:val="21"/>
      <w:lang w:eastAsia="en-US"/>
      <w14:ligatures w14:val="none"/>
    </w:rPr>
  </w:style>
  <w:style w:type="character" w:customStyle="1" w:styleId="46">
    <w:name w:val="批注框文本 字符"/>
    <w:basedOn w:val="25"/>
    <w:link w:val="15"/>
    <w:qFormat/>
    <w:uiPriority w:val="0"/>
    <w:rPr>
      <w:rFonts w:ascii="Arial" w:hAnsi="Arial" w:eastAsia="宋体" w:cs="宋体"/>
      <w:snapToGrid w:val="0"/>
      <w:spacing w:val="-1"/>
      <w:kern w:val="0"/>
      <w:sz w:val="18"/>
      <w:szCs w:val="18"/>
      <w:lang w:eastAsia="en-US"/>
      <w14:ligatures w14:val="none"/>
    </w:rPr>
  </w:style>
  <w:style w:type="character" w:customStyle="1" w:styleId="47">
    <w:name w:val="正文文本首行缩进 字符"/>
    <w:basedOn w:val="43"/>
    <w:link w:val="3"/>
    <w:qFormat/>
    <w:uiPriority w:val="0"/>
    <w:rPr>
      <w:rFonts w:ascii="仿宋" w:hAnsi="仿宋" w:eastAsia="仿宋" w:cs="仿宋"/>
      <w:snapToGrid w:val="0"/>
      <w:spacing w:val="-1"/>
      <w:kern w:val="0"/>
      <w:sz w:val="30"/>
      <w:szCs w:val="30"/>
      <w:lang w:eastAsia="en-US"/>
      <w14:ligatures w14:val="none"/>
    </w:rPr>
  </w:style>
  <w:style w:type="table" w:customStyle="1" w:styleId="48">
    <w:name w:val="Table Normal"/>
    <w:autoRedefine/>
    <w:semiHidden/>
    <w:unhideWhenUsed/>
    <w:qFormat/>
    <w:uiPriority w:val="0"/>
    <w:rPr>
      <w:rFonts w:ascii="Times New Roman" w:hAnsi="Times New Roman" w:eastAsia="宋体" w:cs="Times New Roman"/>
      <w:kern w:val="0"/>
      <w:sz w:val="20"/>
      <w:szCs w:val="20"/>
      <w14:ligatures w14:val="none"/>
    </w:rPr>
    <w:tblPr>
      <w:tblCellMar>
        <w:top w:w="0" w:type="dxa"/>
        <w:left w:w="0" w:type="dxa"/>
        <w:bottom w:w="0" w:type="dxa"/>
        <w:right w:w="0" w:type="dxa"/>
      </w:tblCellMar>
    </w:tblPr>
  </w:style>
  <w:style w:type="paragraph" w:customStyle="1" w:styleId="49">
    <w:name w:val="Table Text"/>
    <w:basedOn w:val="1"/>
    <w:autoRedefine/>
    <w:semiHidden/>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24"/>
      <w:szCs w:val="24"/>
      <w:lang w:eastAsia="en-US"/>
      <w14:ligatures w14:val="none"/>
    </w:rPr>
  </w:style>
  <w:style w:type="paragraph" w:customStyle="1" w:styleId="50">
    <w:name w:val="Heading #2|1"/>
    <w:basedOn w:val="1"/>
    <w:autoRedefine/>
    <w:qFormat/>
    <w:uiPriority w:val="0"/>
    <w:pPr>
      <w:kinsoku w:val="0"/>
      <w:autoSpaceDE w:val="0"/>
      <w:autoSpaceDN w:val="0"/>
      <w:adjustRightInd w:val="0"/>
      <w:snapToGrid w:val="0"/>
      <w:spacing w:after="580" w:line="634" w:lineRule="exact"/>
      <w:jc w:val="center"/>
      <w:textAlignment w:val="baseline"/>
      <w:outlineLvl w:val="1"/>
    </w:pPr>
    <w:rPr>
      <w:rFonts w:ascii="宋体" w:hAnsi="宋体" w:eastAsia="宋体" w:cs="宋体"/>
      <w:snapToGrid w:val="0"/>
      <w:spacing w:val="-1"/>
      <w:kern w:val="0"/>
      <w:sz w:val="44"/>
      <w:szCs w:val="44"/>
      <w:lang w:val="zh-TW" w:eastAsia="zh-TW" w:bidi="zh-TW"/>
      <w14:ligatures w14:val="none"/>
    </w:rPr>
  </w:style>
  <w:style w:type="paragraph" w:customStyle="1" w:styleId="51">
    <w:name w:val="Body text|1"/>
    <w:basedOn w:val="1"/>
    <w:autoRedefine/>
    <w:qFormat/>
    <w:uiPriority w:val="0"/>
    <w:pPr>
      <w:kinsoku w:val="0"/>
      <w:autoSpaceDE w:val="0"/>
      <w:autoSpaceDN w:val="0"/>
      <w:adjustRightInd w:val="0"/>
      <w:snapToGrid w:val="0"/>
      <w:spacing w:line="432" w:lineRule="auto"/>
      <w:ind w:firstLine="400"/>
      <w:jc w:val="left"/>
      <w:textAlignment w:val="baseline"/>
    </w:pPr>
    <w:rPr>
      <w:rFonts w:ascii="宋体" w:hAnsi="宋体" w:eastAsia="宋体" w:cs="宋体"/>
      <w:snapToGrid w:val="0"/>
      <w:spacing w:val="-1"/>
      <w:kern w:val="0"/>
      <w:sz w:val="30"/>
      <w:szCs w:val="30"/>
      <w:lang w:val="zh-TW" w:eastAsia="zh-TW" w:bidi="zh-TW"/>
      <w14:ligatures w14:val="none"/>
    </w:rPr>
  </w:style>
  <w:style w:type="paragraph" w:customStyle="1" w:styleId="52">
    <w:name w:val="Body text|2"/>
    <w:basedOn w:val="1"/>
    <w:autoRedefine/>
    <w:qFormat/>
    <w:uiPriority w:val="0"/>
    <w:pPr>
      <w:kinsoku w:val="0"/>
      <w:autoSpaceDE w:val="0"/>
      <w:autoSpaceDN w:val="0"/>
      <w:adjustRightInd w:val="0"/>
      <w:snapToGrid w:val="0"/>
      <w:jc w:val="left"/>
      <w:textAlignment w:val="baseline"/>
    </w:pPr>
    <w:rPr>
      <w:rFonts w:ascii="宋体" w:hAnsi="宋体" w:eastAsia="宋体" w:cs="宋体"/>
      <w:snapToGrid w:val="0"/>
      <w:spacing w:val="-1"/>
      <w:kern w:val="0"/>
      <w:sz w:val="26"/>
      <w:szCs w:val="26"/>
      <w:lang w:val="zh-TW" w:eastAsia="zh-TW" w:bidi="zh-TW"/>
      <w14:ligatures w14:val="none"/>
    </w:rPr>
  </w:style>
  <w:style w:type="paragraph" w:customStyle="1" w:styleId="53">
    <w:name w:val="正文_0_1"/>
    <w:autoRedefine/>
    <w:qFormat/>
    <w:uiPriority w:val="0"/>
    <w:pPr>
      <w:widowControl w:val="0"/>
      <w:jc w:val="both"/>
    </w:pPr>
    <w:rPr>
      <w:rFonts w:ascii="Times New Roman" w:hAnsi="Times New Roman" w:eastAsia="宋体" w:cs="Times New Roman"/>
      <w:kern w:val="2"/>
      <w:sz w:val="21"/>
      <w:szCs w:val="22"/>
      <w:lang w:val="en-US" w:eastAsia="zh-CN" w:bidi="ar-SA"/>
      <w14:ligatures w14:val="none"/>
    </w:rPr>
  </w:style>
  <w:style w:type="paragraph" w:customStyle="1" w:styleId="54">
    <w:name w:val="样式1"/>
    <w:basedOn w:val="4"/>
    <w:autoRedefine/>
    <w:qFormat/>
    <w:uiPriority w:val="0"/>
    <w:pPr>
      <w:spacing w:before="240" w:after="240" w:line="440" w:lineRule="exact"/>
    </w:pPr>
    <w:rPr>
      <w:rFonts w:eastAsia="楷体"/>
      <w:sz w:val="36"/>
      <w:szCs w:val="28"/>
    </w:rPr>
  </w:style>
  <w:style w:type="character" w:customStyle="1" w:styleId="55">
    <w:name w:val="font31"/>
    <w:autoRedefine/>
    <w:qFormat/>
    <w:uiPriority w:val="0"/>
    <w:rPr>
      <w:rFonts w:hint="eastAsia" w:ascii="宋体" w:hAnsi="宋体" w:eastAsia="宋体" w:cs="宋体"/>
      <w:color w:val="000000"/>
      <w:sz w:val="21"/>
      <w:szCs w:val="21"/>
      <w:u w:val="none"/>
    </w:rPr>
  </w:style>
  <w:style w:type="paragraph" w:customStyle="1" w:styleId="56">
    <w:name w:val="Default"/>
    <w:autoRedefine/>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14:ligatures w14:val="none"/>
    </w:rPr>
  </w:style>
  <w:style w:type="paragraph" w:styleId="57">
    <w:name w:val="List Paragraph"/>
    <w:basedOn w:val="1"/>
    <w:autoRedefine/>
    <w:qFormat/>
    <w:uiPriority w:val="34"/>
    <w:pPr>
      <w:widowControl/>
      <w:kinsoku w:val="0"/>
      <w:autoSpaceDE w:val="0"/>
      <w:autoSpaceDN w:val="0"/>
      <w:adjustRightInd w:val="0"/>
      <w:snapToGrid w:val="0"/>
      <w:ind w:firstLine="420" w:firstLineChars="200"/>
      <w:jc w:val="left"/>
      <w:textAlignment w:val="baseline"/>
    </w:pPr>
    <w:rPr>
      <w:rFonts w:ascii="Times New Roman" w:hAnsi="Times New Roman" w:eastAsia="宋体" w:cs="Times New Roman"/>
      <w:snapToGrid w:val="0"/>
      <w:spacing w:val="-1"/>
      <w:kern w:val="0"/>
      <w:sz w:val="24"/>
      <w:szCs w:val="24"/>
      <w:lang w:eastAsia="en-US"/>
      <w14:ligatures w14:val="none"/>
    </w:rPr>
  </w:style>
  <w:style w:type="paragraph" w:customStyle="1" w:styleId="58">
    <w:name w:val="缺省文本"/>
    <w:basedOn w:val="1"/>
    <w:autoRedefine/>
    <w:qFormat/>
    <w:uiPriority w:val="0"/>
    <w:pPr>
      <w:widowControl/>
      <w:kinsoku w:val="0"/>
      <w:autoSpaceDE w:val="0"/>
      <w:autoSpaceDN w:val="0"/>
      <w:adjustRightInd w:val="0"/>
      <w:snapToGrid w:val="0"/>
      <w:spacing w:before="20" w:after="20" w:line="400" w:lineRule="exact"/>
      <w:ind w:firstLine="504"/>
      <w:jc w:val="left"/>
      <w:textAlignment w:val="baseline"/>
    </w:pPr>
    <w:rPr>
      <w:rFonts w:ascii="Times New Roman" w:hAnsi="Times New Roman" w:eastAsia="宋体" w:cs="Times New Roman"/>
      <w:snapToGrid w:val="0"/>
      <w:spacing w:val="-1"/>
      <w:kern w:val="0"/>
      <w:sz w:val="24"/>
      <w:szCs w:val="20"/>
      <w:lang w:eastAsia="en-US"/>
      <w14:ligatures w14:val="none"/>
    </w:rPr>
  </w:style>
  <w:style w:type="paragraph" w:customStyle="1" w:styleId="59">
    <w:name w:val="WPSOffice手动目录 1"/>
    <w:autoRedefine/>
    <w:qFormat/>
    <w:uiPriority w:val="0"/>
    <w:rPr>
      <w:rFonts w:ascii="Times New Roman" w:hAnsi="Times New Roman" w:eastAsia="宋体" w:cs="Times New Roman"/>
      <w:kern w:val="0"/>
      <w:sz w:val="20"/>
      <w:szCs w:val="20"/>
      <w:lang w:val="en-US" w:eastAsia="zh-CN" w:bidi="ar-SA"/>
      <w14:ligatures w14:val="none"/>
    </w:rPr>
  </w:style>
  <w:style w:type="paragraph" w:customStyle="1" w:styleId="60">
    <w:name w:val="WPSOffice手动目录 2"/>
    <w:autoRedefine/>
    <w:qFormat/>
    <w:uiPriority w:val="0"/>
    <w:pPr>
      <w:ind w:left="200" w:leftChars="200"/>
    </w:pPr>
    <w:rPr>
      <w:rFonts w:ascii="Times New Roman" w:hAnsi="Times New Roman" w:eastAsia="宋体" w:cs="Times New Roman"/>
      <w:kern w:val="0"/>
      <w:sz w:val="20"/>
      <w:szCs w:val="20"/>
      <w:lang w:val="en-US" w:eastAsia="zh-CN" w:bidi="ar-SA"/>
      <w14:ligatures w14:val="none"/>
    </w:rPr>
  </w:style>
  <w:style w:type="paragraph" w:customStyle="1" w:styleId="61">
    <w:name w:val="WPSOffice手动目录 3"/>
    <w:autoRedefine/>
    <w:qFormat/>
    <w:uiPriority w:val="0"/>
    <w:pPr>
      <w:ind w:left="400" w:leftChars="400"/>
    </w:pPr>
    <w:rPr>
      <w:rFonts w:ascii="Times New Roman" w:hAnsi="Times New Roman" w:eastAsia="宋体" w:cs="Times New Roman"/>
      <w:kern w:val="0"/>
      <w:sz w:val="20"/>
      <w:szCs w:val="20"/>
      <w:lang w:val="en-US" w:eastAsia="zh-CN" w:bidi="ar-SA"/>
      <w14:ligatures w14:val="none"/>
    </w:rPr>
  </w:style>
  <w:style w:type="paragraph" w:customStyle="1" w:styleId="62">
    <w:name w:val="表格文字"/>
    <w:basedOn w:val="14"/>
    <w:next w:val="2"/>
    <w:autoRedefine/>
    <w:qFormat/>
    <w:uiPriority w:val="0"/>
    <w:pPr>
      <w:widowControl/>
      <w:kinsoku w:val="0"/>
      <w:autoSpaceDE w:val="0"/>
      <w:autoSpaceDN w:val="0"/>
      <w:adjustRightInd w:val="0"/>
      <w:snapToGrid w:val="0"/>
      <w:spacing w:before="25" w:after="25"/>
      <w:jc w:val="left"/>
      <w:textAlignment w:val="baseline"/>
    </w:pPr>
    <w:rPr>
      <w:rFonts w:ascii="仿宋" w:hAnsi="仿宋" w:eastAsia="仿宋" w:cs="仿宋"/>
      <w:bCs/>
      <w:snapToGrid w:val="0"/>
      <w:spacing w:val="10"/>
      <w:kern w:val="0"/>
      <w:sz w:val="24"/>
      <w:szCs w:val="24"/>
      <w:lang w:eastAsia="en-US"/>
      <w14:ligatures w14:val="none"/>
    </w:rPr>
  </w:style>
  <w:style w:type="paragraph" w:customStyle="1" w:styleId="63">
    <w:name w:val="正文 首行缩进:  2 字符"/>
    <w:basedOn w:val="1"/>
    <w:autoRedefine/>
    <w:qFormat/>
    <w:uiPriority w:val="0"/>
    <w:pPr>
      <w:widowControl/>
      <w:kinsoku w:val="0"/>
      <w:autoSpaceDE w:val="0"/>
      <w:autoSpaceDN w:val="0"/>
      <w:adjustRightInd w:val="0"/>
      <w:snapToGrid w:val="0"/>
      <w:ind w:firstLine="579" w:firstLineChars="200"/>
      <w:jc w:val="left"/>
      <w:textAlignment w:val="baseline"/>
    </w:pPr>
    <w:rPr>
      <w:rFonts w:ascii="Arial" w:hAnsi="Arial" w:eastAsia="宋体" w:cs="宋体"/>
      <w:snapToGrid w:val="0"/>
      <w:spacing w:val="-1"/>
      <w:kern w:val="0"/>
      <w:sz w:val="28"/>
      <w:szCs w:val="24"/>
      <w:lang w:eastAsia="en-US"/>
      <w14:ligatures w14:val="none"/>
    </w:rPr>
  </w:style>
  <w:style w:type="paragraph" w:customStyle="1" w:styleId="64">
    <w:name w:val="_Style 3"/>
    <w:autoRedefine/>
    <w:qFormat/>
    <w:uiPriority w:val="1"/>
    <w:pPr>
      <w:widowControl w:val="0"/>
      <w:jc w:val="both"/>
    </w:pPr>
    <w:rPr>
      <w:rFonts w:ascii="Times New Roman" w:hAnsi="Times New Roman" w:eastAsia="宋体" w:cs="Times New Roman"/>
      <w:kern w:val="2"/>
      <w:sz w:val="21"/>
      <w:szCs w:val="22"/>
      <w:lang w:val="en-US" w:eastAsia="zh-CN" w:bidi="ar-SA"/>
      <w14:ligatures w14:val="none"/>
    </w:rPr>
  </w:style>
  <w:style w:type="table" w:customStyle="1" w:styleId="65">
    <w:name w:val="网格型1"/>
    <w:basedOn w:val="23"/>
    <w:autoRedefine/>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font21"/>
    <w:basedOn w:val="25"/>
    <w:qFormat/>
    <w:uiPriority w:val="0"/>
    <w:rPr>
      <w:rFonts w:hint="eastAsia" w:ascii="仿宋" w:hAnsi="仿宋" w:eastAsia="仿宋" w:cs="仿宋"/>
      <w:color w:val="000000"/>
      <w:sz w:val="24"/>
      <w:szCs w:val="24"/>
      <w:u w:val="none"/>
    </w:rPr>
  </w:style>
  <w:style w:type="paragraph" w:customStyle="1" w:styleId="67">
    <w:name w:val="BodyText"/>
    <w:basedOn w:val="1"/>
    <w:qFormat/>
    <w:uiPriority w:val="99"/>
    <w:pPr>
      <w:jc w:val="center"/>
    </w:pPr>
    <w:rPr>
      <w:b/>
    </w:rPr>
  </w:style>
  <w:style w:type="paragraph" w:customStyle="1" w:styleId="68">
    <w:name w:val="Normal Indent"/>
    <w:basedOn w:val="1"/>
    <w:qFormat/>
    <w:uiPriority w:val="0"/>
    <w:pPr>
      <w:widowControl/>
      <w:ind w:firstLine="420" w:firstLineChars="200"/>
    </w:pPr>
  </w:style>
  <w:style w:type="character" w:customStyle="1" w:styleId="69">
    <w:name w:val="font181"/>
    <w:basedOn w:val="25"/>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669</Words>
  <Characters>690</Characters>
  <Lines>67</Lines>
  <Paragraphs>18</Paragraphs>
  <TotalTime>3</TotalTime>
  <ScaleCrop>false</ScaleCrop>
  <LinksUpToDate>false</LinksUpToDate>
  <CharactersWithSpaces>700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2024-05-08T01:06:00Z</dcterms:created>
  <dc:creator>BC A</dc:creator>
  <cp:lastModifiedBy>胡燕颖</cp:lastModifiedBy>
  <dcterms:modified xsi:type="dcterms:W3CDTF">2026-10-20T01:49:17Z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eyJoZGlkIjoiZDM1MTQzOGY5Mzg1ZWYzMDE2YTg3ZjQxODY2NTNlMTUiLCJ1c2VySWQiOiIxODA1MDg3Mzg0In0=</vt:lpwstr>
  </property>
  <property fmtid="{D5CDD505-2E9C-101B-9397-08002B2CF9AE}" pid="3" name="KSOProductBuildVer">
    <vt:lpwstr>2052-12.1.0.29161</vt:lpwstr>
  </property>
  <property fmtid="{D5CDD505-2E9C-101B-9397-08002B2CF9AE}" pid="4" name="ICV">
    <vt:lpwstr>F6F94B416EFA40879D352342345D93D4_12</vt:lpwstr>
  </property>
</Properties>
</file>