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2F0B6">
      <w:pPr>
        <w:wordWrap w:val="0"/>
        <w:autoSpaceDE w:val="0"/>
        <w:autoSpaceDN w:val="0"/>
        <w:spacing w:line="560" w:lineRule="exact"/>
        <w:rPr>
          <w:rFonts w:asciiTheme="minorEastAsia" w:hAnsiTheme="minorEastAsia"/>
          <w:b/>
          <w:color w:val="000000"/>
          <w:sz w:val="28"/>
          <w:szCs w:val="24"/>
        </w:rPr>
      </w:pPr>
      <w:r>
        <w:rPr>
          <w:rFonts w:hint="eastAsia" w:asciiTheme="minorEastAsia" w:hAnsiTheme="minorEastAsia"/>
          <w:b/>
          <w:color w:val="000000"/>
          <w:sz w:val="28"/>
          <w:szCs w:val="24"/>
        </w:rPr>
        <w:t>附件1：</w:t>
      </w:r>
    </w:p>
    <w:p w14:paraId="1E19DD97">
      <w:pPr>
        <w:wordWrap w:val="0"/>
        <w:autoSpaceDE w:val="0"/>
        <w:autoSpaceDN w:val="0"/>
        <w:spacing w:line="560" w:lineRule="exact"/>
        <w:jc w:val="center"/>
        <w:rPr>
          <w:rFonts w:asciiTheme="minorEastAsia" w:hAnsiTheme="minorEastAsia"/>
          <w:b/>
          <w:sz w:val="28"/>
          <w:szCs w:val="24"/>
        </w:rPr>
      </w:pPr>
      <w:bookmarkStart w:id="0" w:name="OLE_LINK1"/>
      <w:bookmarkStart w:id="1" w:name="OLE_LINK2"/>
      <w:r>
        <w:rPr>
          <w:rFonts w:hint="eastAsia" w:asciiTheme="minorEastAsia" w:hAnsiTheme="minorEastAsia"/>
          <w:b/>
          <w:color w:val="000000"/>
          <w:sz w:val="28"/>
          <w:szCs w:val="24"/>
        </w:rPr>
        <w:t>南昌市第一医院劳务派遣服务采购项目</w:t>
      </w:r>
      <w:r>
        <w:rPr>
          <w:rFonts w:hint="eastAsia" w:asciiTheme="minorEastAsia" w:hAnsiTheme="minorEastAsia"/>
          <w:b/>
          <w:sz w:val="28"/>
          <w:szCs w:val="24"/>
        </w:rPr>
        <w:t>采购需求</w:t>
      </w:r>
      <w:bookmarkEnd w:id="0"/>
      <w:bookmarkEnd w:id="1"/>
      <w:r>
        <w:rPr>
          <w:rFonts w:hint="eastAsia" w:asciiTheme="minorEastAsia" w:hAnsiTheme="minorEastAsia"/>
          <w:b/>
          <w:sz w:val="28"/>
          <w:szCs w:val="24"/>
        </w:rPr>
        <w:t>及评审规则</w:t>
      </w:r>
    </w:p>
    <w:p w14:paraId="1D28719B">
      <w:pPr>
        <w:wordWrap w:val="0"/>
        <w:autoSpaceDE w:val="0"/>
        <w:autoSpaceDN w:val="0"/>
        <w:spacing w:line="560" w:lineRule="exact"/>
        <w:ind w:right="120" w:firstLine="480" w:firstLineChars="200"/>
        <w:rPr>
          <w:rFonts w:cs="仿宋_GB2312" w:asciiTheme="minorEastAsia" w:hAnsiTheme="minorEastAsia"/>
          <w:sz w:val="24"/>
          <w:szCs w:val="24"/>
        </w:rPr>
      </w:pPr>
      <w:r>
        <w:rPr>
          <w:rFonts w:hint="eastAsia" w:cs="仿宋_GB2312" w:asciiTheme="minorEastAsia" w:hAnsiTheme="minorEastAsia"/>
          <w:color w:val="000000"/>
          <w:sz w:val="24"/>
          <w:szCs w:val="24"/>
        </w:rPr>
        <w:t>南昌市第一医院（南昌大学第三附属医院）是南昌市市属公立三级甲等医院，医院目前拥有一院三区。根据工作需要，医院拟引进一家劳务派遣公司为医院提供相关服务，人员规模预计220人左右（依据实际服务人数结算）。供应商依据采购文件的内容和要求、按照市场价格、企业自身管理等各方面情况综合考虑、自主报价。</w:t>
      </w:r>
    </w:p>
    <w:p w14:paraId="08ED67DE">
      <w:pPr>
        <w:wordWrap w:val="0"/>
        <w:autoSpaceDE w:val="0"/>
        <w:autoSpaceDN w:val="0"/>
        <w:spacing w:line="560" w:lineRule="exact"/>
        <w:ind w:firstLine="520"/>
        <w:rPr>
          <w:rFonts w:cs="楷体_GB2312" w:asciiTheme="minorEastAsia" w:hAnsiTheme="minorEastAsia"/>
          <w:sz w:val="24"/>
          <w:szCs w:val="24"/>
        </w:rPr>
      </w:pPr>
      <w:r>
        <w:rPr>
          <w:rFonts w:hint="eastAsia" w:cs="楷体_GB2312" w:asciiTheme="minorEastAsia" w:hAnsiTheme="minorEastAsia"/>
          <w:b/>
          <w:color w:val="000000"/>
          <w:sz w:val="24"/>
          <w:szCs w:val="24"/>
        </w:rPr>
        <w:t>一、技术要求</w:t>
      </w:r>
    </w:p>
    <w:p w14:paraId="768A42E8">
      <w:pPr>
        <w:wordWrap w:val="0"/>
        <w:autoSpaceDE w:val="0"/>
        <w:autoSpaceDN w:val="0"/>
        <w:spacing w:line="560" w:lineRule="exact"/>
        <w:ind w:right="120" w:firstLine="480" w:firstLineChars="200"/>
        <w:rPr>
          <w:rFonts w:cs="仿宋_GB2312" w:asciiTheme="minorEastAsia" w:hAnsiTheme="minorEastAsia"/>
          <w:color w:val="000000"/>
          <w:sz w:val="24"/>
          <w:szCs w:val="24"/>
        </w:rPr>
      </w:pPr>
      <w:r>
        <w:rPr>
          <w:rFonts w:hint="eastAsia" w:cs="仿宋_GB2312" w:asciiTheme="minorEastAsia" w:hAnsiTheme="minorEastAsia"/>
          <w:color w:val="000000"/>
          <w:sz w:val="24"/>
          <w:szCs w:val="24"/>
        </w:rPr>
        <w:t>1.供应商在取得中标通知书之日起，根据采购人的要求，立即派遣管理团队对接本项目派遣服务管理业务，确保各项工作规范、高效落实。</w:t>
      </w:r>
    </w:p>
    <w:p w14:paraId="4F1311B1">
      <w:pPr>
        <w:wordWrap w:val="0"/>
        <w:autoSpaceDE w:val="0"/>
        <w:autoSpaceDN w:val="0"/>
        <w:spacing w:line="560" w:lineRule="exact"/>
        <w:ind w:right="120" w:firstLine="482" w:firstLineChars="200"/>
        <w:rPr>
          <w:rFonts w:cs="仿宋_GB2312" w:asciiTheme="minorEastAsia" w:hAnsiTheme="minorEastAsia"/>
          <w:color w:val="000000"/>
          <w:sz w:val="24"/>
          <w:szCs w:val="24"/>
        </w:rPr>
      </w:pPr>
      <w:r>
        <w:rPr>
          <w:rFonts w:hint="eastAsia" w:cs="仿宋_GB2312" w:asciiTheme="minorEastAsia" w:hAnsiTheme="minorEastAsia"/>
          <w:b/>
          <w:bCs/>
          <w:color w:val="000000"/>
          <w:sz w:val="24"/>
          <w:szCs w:val="24"/>
        </w:rPr>
        <w:t>（一）管理团队组建与对接要求。</w:t>
      </w:r>
      <w:r>
        <w:rPr>
          <w:rFonts w:hint="eastAsia" w:cs="仿宋_GB2312" w:asciiTheme="minorEastAsia" w:hAnsiTheme="minorEastAsia"/>
          <w:color w:val="000000"/>
          <w:sz w:val="24"/>
          <w:szCs w:val="24"/>
        </w:rPr>
        <w:t>供应商须在取得中标通知书后3个工作日内，确定本项目专属管理团队，团队成员包括项目负责人1名、人事管理人员不少于2名。需在中标通知书发放后5个工作日内，与采购人完成首次对接会议，明确双方对接人、对接流程及沟通机制。</w:t>
      </w:r>
    </w:p>
    <w:p w14:paraId="12B954E4">
      <w:pPr>
        <w:wordWrap w:val="0"/>
        <w:autoSpaceDE w:val="0"/>
        <w:autoSpaceDN w:val="0"/>
        <w:spacing w:line="560" w:lineRule="exact"/>
        <w:ind w:right="120" w:firstLine="482" w:firstLineChars="200"/>
        <w:rPr>
          <w:rFonts w:cs="仿宋_GB2312" w:asciiTheme="minorEastAsia" w:hAnsiTheme="minorEastAsia"/>
          <w:color w:val="000000"/>
          <w:sz w:val="24"/>
          <w:szCs w:val="24"/>
        </w:rPr>
      </w:pPr>
      <w:r>
        <w:rPr>
          <w:rFonts w:hint="eastAsia" w:cs="仿宋_GB2312" w:asciiTheme="minorEastAsia" w:hAnsiTheme="minorEastAsia"/>
          <w:b/>
          <w:bCs/>
          <w:color w:val="000000"/>
          <w:sz w:val="24"/>
          <w:szCs w:val="24"/>
        </w:rPr>
        <w:t>（二）劳务用工管理具体要求。</w:t>
      </w:r>
      <w:r>
        <w:rPr>
          <w:rFonts w:hint="eastAsia" w:cs="仿宋_GB2312" w:asciiTheme="minorEastAsia" w:hAnsiTheme="minorEastAsia"/>
          <w:color w:val="000000"/>
          <w:sz w:val="24"/>
          <w:szCs w:val="24"/>
        </w:rPr>
        <w:t>供应商需管理医院现有劳务派遣人员160人左右，响应并完成医院工勤辅助岗位人员招聘需求。</w:t>
      </w:r>
      <w:r>
        <w:rPr>
          <w:rFonts w:cs="仿宋_GB2312" w:asciiTheme="minorEastAsia" w:hAnsiTheme="minorEastAsia"/>
          <w:color w:val="000000"/>
          <w:sz w:val="24"/>
          <w:szCs w:val="24"/>
        </w:rPr>
        <w:t>具体职责包括但不限于：负责工勤辅助岗位人员的招聘工作，确保招聘流程合规、高效；全面管理劳务用工事宜，涵盖与劳务派遣人员签订规范的劳动合同，办理各项社会保险及医疗保险手续，确保依法依规操作；同时，还需妥善处理员工的入职与离职手续，负责薪资的准确发放，以及涉及工伤、生育保险等相关事宜。此外，供应商还需协助处理可能出现的劳务纠纷，确保所有涉及劳动关系的相关事务得到及时、专业</w:t>
      </w:r>
      <w:r>
        <w:rPr>
          <w:rFonts w:hint="eastAsia" w:cs="仿宋_GB2312" w:asciiTheme="minorEastAsia" w:hAnsiTheme="minorEastAsia"/>
          <w:color w:val="000000"/>
          <w:sz w:val="24"/>
          <w:szCs w:val="24"/>
        </w:rPr>
        <w:t>地</w:t>
      </w:r>
      <w:r>
        <w:rPr>
          <w:rFonts w:cs="仿宋_GB2312" w:asciiTheme="minorEastAsia" w:hAnsiTheme="minorEastAsia"/>
          <w:color w:val="000000"/>
          <w:sz w:val="24"/>
          <w:szCs w:val="24"/>
        </w:rPr>
        <w:t>解决，保障医院与派遣人员的合法权益。</w:t>
      </w:r>
    </w:p>
    <w:p w14:paraId="7CE38D41">
      <w:pPr>
        <w:wordWrap w:val="0"/>
        <w:autoSpaceDE w:val="0"/>
        <w:autoSpaceDN w:val="0"/>
        <w:spacing w:line="560" w:lineRule="exact"/>
        <w:ind w:right="120" w:firstLine="482" w:firstLineChars="200"/>
        <w:rPr>
          <w:rFonts w:asciiTheme="minorEastAsia" w:hAnsiTheme="minorEastAsia"/>
          <w:sz w:val="24"/>
          <w:szCs w:val="24"/>
        </w:rPr>
      </w:pPr>
      <w:r>
        <w:rPr>
          <w:rFonts w:hint="eastAsia" w:cs="仿宋_GB2312" w:asciiTheme="minorEastAsia" w:hAnsiTheme="minorEastAsia"/>
          <w:b/>
          <w:bCs/>
          <w:color w:val="000000"/>
          <w:sz w:val="24"/>
          <w:szCs w:val="24"/>
        </w:rPr>
        <w:t>（三）人事信息档案管理具体要求。</w:t>
      </w:r>
      <w:r>
        <w:rPr>
          <w:rFonts w:hint="eastAsia" w:cs="仿宋_GB2312" w:asciiTheme="minorEastAsia" w:hAnsiTheme="minorEastAsia"/>
          <w:color w:val="000000"/>
          <w:sz w:val="24"/>
          <w:szCs w:val="24"/>
        </w:rPr>
        <w:t>派遣人员人事信息档案应涵盖但不限于如下内容：《派遣人员花名册》（包含姓名、性别、年龄、身份证号、岗位、学历、毕业院校、职称入职时间、联系方式、社保账号等）、身份证复印件、学历证复印件、劳动合同、入职离职登记表、考勤记录、考核结果、奖惩文件、培训证书、社保医保缴纳凭证等。当采购人基于工作需求对派遣人员档案进行查阅、复制时，供应商须在2个工作日内积极配合提供，不得无故推诿拒绝。</w:t>
      </w:r>
    </w:p>
    <w:p w14:paraId="54240174">
      <w:pPr>
        <w:wordWrap w:val="0"/>
        <w:autoSpaceDE w:val="0"/>
        <w:autoSpaceDN w:val="0"/>
        <w:spacing w:line="560" w:lineRule="exact"/>
        <w:ind w:right="120" w:firstLine="482" w:firstLineChars="200"/>
        <w:rPr>
          <w:rFonts w:cs="仿宋_GB2312" w:asciiTheme="minorEastAsia" w:hAnsiTheme="minorEastAsia"/>
          <w:b/>
          <w:bCs/>
          <w:color w:val="000000"/>
          <w:sz w:val="24"/>
          <w:szCs w:val="24"/>
        </w:rPr>
      </w:pPr>
      <w:r>
        <w:rPr>
          <w:rFonts w:hint="eastAsia" w:cs="仿宋_GB2312" w:asciiTheme="minorEastAsia" w:hAnsiTheme="minorEastAsia"/>
          <w:b/>
          <w:bCs/>
          <w:color w:val="000000"/>
          <w:sz w:val="24"/>
          <w:szCs w:val="24"/>
        </w:rPr>
        <w:t>（四）协助采购人管理具体要求。</w:t>
      </w:r>
    </w:p>
    <w:p w14:paraId="7FEC4E7A">
      <w:pPr>
        <w:wordWrap w:val="0"/>
        <w:autoSpaceDE w:val="0"/>
        <w:autoSpaceDN w:val="0"/>
        <w:spacing w:line="560" w:lineRule="exact"/>
        <w:ind w:right="120" w:firstLine="480" w:firstLineChars="200"/>
        <w:rPr>
          <w:rFonts w:cs="仿宋_GB2312" w:asciiTheme="minorEastAsia" w:hAnsiTheme="minorEastAsia"/>
          <w:b/>
          <w:bCs/>
          <w:color w:val="000000"/>
          <w:sz w:val="24"/>
          <w:szCs w:val="24"/>
        </w:rPr>
      </w:pPr>
      <w:r>
        <w:rPr>
          <w:rFonts w:hint="eastAsia" w:cs="仿宋_GB2312" w:asciiTheme="minorEastAsia" w:hAnsiTheme="minorEastAsia"/>
          <w:color w:val="000000"/>
          <w:sz w:val="24"/>
          <w:szCs w:val="24"/>
        </w:rPr>
        <w:t>1.供应商需要积极配合采购人，按照合同约定及相关管理规定，负责人员考勤记录、考核评价等相关工作的落实与执行；定期向采购人提交劳务派遣人员管理报告，内容涵盖人员流动情况、薪资发放统计、社保医保缴纳状况等，为采购人的人力资源决策提供有力依据；协助采购人识别、评估与劳务派遣相关的潜在风险，如劳动纠纷风险、合规风险等，并制定相应的风险应对措施。</w:t>
      </w:r>
    </w:p>
    <w:p w14:paraId="5104CA06">
      <w:pPr>
        <w:wordWrap w:val="0"/>
        <w:autoSpaceDE w:val="0"/>
        <w:autoSpaceDN w:val="0"/>
        <w:spacing w:line="560" w:lineRule="exact"/>
        <w:ind w:right="120" w:firstLine="480" w:firstLineChars="200"/>
        <w:rPr>
          <w:rFonts w:cs="仿宋_GB2312" w:asciiTheme="minorEastAsia" w:hAnsiTheme="minorEastAsia"/>
          <w:color w:val="000000"/>
          <w:sz w:val="24"/>
          <w:szCs w:val="24"/>
        </w:rPr>
      </w:pPr>
      <w:r>
        <w:rPr>
          <w:rFonts w:hint="eastAsia" w:cs="仿宋_GB2312" w:asciiTheme="minorEastAsia" w:hAnsiTheme="minorEastAsia"/>
          <w:color w:val="000000"/>
          <w:sz w:val="24"/>
          <w:szCs w:val="24"/>
        </w:rPr>
        <w:t>2.本项目派遣人员的费用由采购人每月核对费用转至供应商，由供应商负责发放。每月发放工资的时间，由采购人确定。双方应当将发放劳动报酬的记录保存三年以上备查。</w:t>
      </w:r>
    </w:p>
    <w:p w14:paraId="5B3F43B8">
      <w:pPr>
        <w:wordWrap w:val="0"/>
        <w:autoSpaceDE w:val="0"/>
        <w:autoSpaceDN w:val="0"/>
        <w:spacing w:line="560" w:lineRule="exact"/>
        <w:ind w:right="120" w:firstLine="480" w:firstLineChars="200"/>
        <w:rPr>
          <w:rFonts w:cs="仿宋_GB2312" w:asciiTheme="minorEastAsia" w:hAnsiTheme="minorEastAsia"/>
          <w:color w:val="000000"/>
          <w:sz w:val="24"/>
          <w:szCs w:val="24"/>
        </w:rPr>
      </w:pPr>
      <w:r>
        <w:rPr>
          <w:rFonts w:hint="eastAsia" w:cs="仿宋_GB2312" w:asciiTheme="minorEastAsia" w:hAnsiTheme="minorEastAsia"/>
          <w:color w:val="000000"/>
          <w:sz w:val="24"/>
          <w:szCs w:val="24"/>
        </w:rPr>
        <w:t>3.供应商应根据服务人员人数和服务项目配备相应的专门的管理人员，负责服务人员的日常事务，协调处理服务人员与采购人之间的关系，并向采购人提供政策法规方面的咨询。</w:t>
      </w:r>
    </w:p>
    <w:p w14:paraId="1D624373">
      <w:pPr>
        <w:wordWrap w:val="0"/>
        <w:autoSpaceDE w:val="0"/>
        <w:autoSpaceDN w:val="0"/>
        <w:spacing w:line="560" w:lineRule="exact"/>
        <w:ind w:right="120" w:firstLine="480" w:firstLineChars="200"/>
        <w:rPr>
          <w:rFonts w:cs="仿宋_GB2312" w:asciiTheme="minorEastAsia" w:hAnsiTheme="minorEastAsia"/>
          <w:color w:val="000000"/>
          <w:sz w:val="24"/>
          <w:szCs w:val="24"/>
        </w:rPr>
      </w:pPr>
      <w:r>
        <w:rPr>
          <w:rFonts w:hint="eastAsia" w:cs="仿宋_GB2312" w:asciiTheme="minorEastAsia" w:hAnsiTheme="minorEastAsia"/>
          <w:color w:val="000000"/>
          <w:sz w:val="24"/>
          <w:szCs w:val="24"/>
        </w:rPr>
        <w:t>4.供应商在本项目劳务派遣服务期间，所从事劳务派遣活动应符合国家和省市有关劳务派遣服务规定。</w:t>
      </w:r>
    </w:p>
    <w:p w14:paraId="43791014">
      <w:pPr>
        <w:wordWrap w:val="0"/>
        <w:autoSpaceDE w:val="0"/>
        <w:autoSpaceDN w:val="0"/>
        <w:spacing w:line="560" w:lineRule="exact"/>
        <w:ind w:firstLine="520"/>
        <w:rPr>
          <w:rFonts w:cs="楷体_GB2312" w:asciiTheme="minorEastAsia" w:hAnsiTheme="minorEastAsia"/>
          <w:b/>
          <w:color w:val="000000"/>
          <w:sz w:val="24"/>
          <w:szCs w:val="24"/>
        </w:rPr>
      </w:pPr>
      <w:r>
        <w:rPr>
          <w:rFonts w:hint="eastAsia" w:cs="楷体_GB2312" w:asciiTheme="minorEastAsia" w:hAnsiTheme="minorEastAsia"/>
          <w:b/>
          <w:color w:val="000000"/>
          <w:sz w:val="24"/>
          <w:szCs w:val="24"/>
        </w:rPr>
        <w:t>二、商务要求</w:t>
      </w:r>
    </w:p>
    <w:p w14:paraId="4D6D4159">
      <w:pPr>
        <w:wordWrap w:val="0"/>
        <w:autoSpaceDE w:val="0"/>
        <w:autoSpaceDN w:val="0"/>
        <w:spacing w:line="560" w:lineRule="exact"/>
        <w:ind w:firstLine="520"/>
        <w:rPr>
          <w:rFonts w:cs="楷体_GB2312" w:asciiTheme="minorEastAsia" w:hAnsiTheme="minorEastAsia"/>
          <w:b/>
          <w:color w:val="000000"/>
          <w:sz w:val="24"/>
          <w:szCs w:val="24"/>
        </w:rPr>
      </w:pPr>
      <w:r>
        <w:rPr>
          <w:rFonts w:hint="eastAsia" w:cs="楷体_GB2312" w:asciiTheme="minorEastAsia" w:hAnsiTheme="minorEastAsia"/>
          <w:b/>
          <w:color w:val="000000"/>
          <w:sz w:val="24"/>
          <w:szCs w:val="24"/>
        </w:rPr>
        <w:t>服务期限：</w:t>
      </w:r>
      <w:r>
        <w:rPr>
          <w:rFonts w:hint="eastAsia" w:cs="仿宋_GB2312" w:asciiTheme="minorEastAsia" w:hAnsiTheme="minorEastAsia"/>
          <w:color w:val="000000"/>
          <w:sz w:val="24"/>
          <w:szCs w:val="24"/>
        </w:rPr>
        <w:t>本项目服务期限为3年，根据考核结果实行一年一签。</w:t>
      </w:r>
    </w:p>
    <w:p w14:paraId="06FE7207">
      <w:pPr>
        <w:wordWrap w:val="0"/>
        <w:autoSpaceDE w:val="0"/>
        <w:autoSpaceDN w:val="0"/>
        <w:spacing w:line="560" w:lineRule="exact"/>
        <w:ind w:right="120" w:firstLine="482" w:firstLineChars="200"/>
        <w:rPr>
          <w:rFonts w:cs="黑体" w:asciiTheme="minorEastAsia" w:hAnsiTheme="minorEastAsia"/>
          <w:b/>
          <w:color w:val="000000"/>
          <w:sz w:val="24"/>
          <w:szCs w:val="24"/>
        </w:rPr>
      </w:pPr>
      <w:r>
        <w:rPr>
          <w:rFonts w:hint="eastAsia" w:cs="黑体" w:asciiTheme="minorEastAsia" w:hAnsiTheme="minorEastAsia"/>
          <w:b/>
          <w:color w:val="000000"/>
          <w:sz w:val="24"/>
          <w:szCs w:val="24"/>
        </w:rPr>
        <w:t>三、考核要求</w:t>
      </w:r>
    </w:p>
    <w:p w14:paraId="1A5B3376">
      <w:pPr>
        <w:wordWrap w:val="0"/>
        <w:autoSpaceDE w:val="0"/>
        <w:autoSpaceDN w:val="0"/>
        <w:spacing w:line="560" w:lineRule="exact"/>
        <w:ind w:right="120" w:firstLine="480" w:firstLineChars="200"/>
        <w:rPr>
          <w:rFonts w:cs="黑体" w:asciiTheme="minorEastAsia" w:hAnsiTheme="minorEastAsia"/>
          <w:b/>
          <w:color w:val="000000"/>
          <w:sz w:val="24"/>
          <w:szCs w:val="24"/>
        </w:rPr>
      </w:pPr>
      <w:r>
        <w:rPr>
          <w:rFonts w:hint="eastAsia" w:cs="仿宋_GB2312" w:asciiTheme="minorEastAsia" w:hAnsiTheme="minorEastAsia"/>
          <w:color w:val="000000"/>
          <w:sz w:val="24"/>
          <w:szCs w:val="24"/>
        </w:rPr>
        <w:t>中标单位需对服务质量、人员管理、薪资发放、风险防控与纠纷处理、服务团队与响应以及工作合规性等承担相应责任，采购人根据实际工作需要，建立量化、透明的考核指标体系。考核结果与服务费用支付、合同续期、违约责任挂钩；考核不合格将按约定采取惩戒措施；（详见附件2：南昌市第一医院劳务派遣服务考核标准）。</w:t>
      </w:r>
    </w:p>
    <w:p w14:paraId="5EB61E01">
      <w:pPr>
        <w:wordWrap w:val="0"/>
        <w:autoSpaceDE w:val="0"/>
        <w:autoSpaceDN w:val="0"/>
        <w:spacing w:line="560" w:lineRule="exact"/>
        <w:ind w:right="120" w:firstLine="482" w:firstLineChars="200"/>
        <w:rPr>
          <w:rFonts w:cs="黑体" w:asciiTheme="minorEastAsia" w:hAnsiTheme="minorEastAsia"/>
          <w:b/>
          <w:color w:val="000000"/>
          <w:sz w:val="24"/>
          <w:szCs w:val="24"/>
        </w:rPr>
      </w:pPr>
      <w:r>
        <w:rPr>
          <w:rFonts w:hint="eastAsia" w:cs="黑体" w:asciiTheme="minorEastAsia" w:hAnsiTheme="minorEastAsia"/>
          <w:b/>
          <w:color w:val="000000"/>
          <w:sz w:val="24"/>
          <w:szCs w:val="24"/>
        </w:rPr>
        <w:t>四、评审规则（总分：60分）</w:t>
      </w:r>
    </w:p>
    <w:tbl>
      <w:tblPr>
        <w:tblStyle w:val="2"/>
        <w:tblW w:w="0" w:type="auto"/>
        <w:tblInd w:w="8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234"/>
        <w:gridCol w:w="1001"/>
        <w:gridCol w:w="5996"/>
      </w:tblGrid>
      <w:tr w14:paraId="5780E9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05"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0801EE6D">
            <w:pPr>
              <w:wordWrap w:val="0"/>
              <w:autoSpaceDE w:val="0"/>
              <w:autoSpaceDN w:val="0"/>
              <w:spacing w:line="300" w:lineRule="exact"/>
              <w:jc w:val="center"/>
              <w:rPr>
                <w:rFonts w:asciiTheme="minorEastAsia" w:hAnsiTheme="minorEastAsia"/>
                <w:b/>
                <w:bCs/>
                <w:sz w:val="24"/>
                <w:szCs w:val="24"/>
              </w:rPr>
            </w:pPr>
            <w:r>
              <w:rPr>
                <w:rFonts w:hint="eastAsia" w:asciiTheme="minorEastAsia" w:hAnsiTheme="minorEastAsia"/>
                <w:b/>
                <w:bCs/>
                <w:color w:val="000000"/>
                <w:sz w:val="24"/>
                <w:szCs w:val="24"/>
              </w:rPr>
              <w:t>评审因素</w:t>
            </w:r>
          </w:p>
        </w:tc>
        <w:tc>
          <w:tcPr>
            <w:tcW w:w="1021" w:type="dxa"/>
            <w:tcBorders>
              <w:top w:val="single" w:color="000000" w:sz="4" w:space="0"/>
              <w:left w:val="single" w:color="000000" w:sz="4" w:space="0"/>
              <w:bottom w:val="single" w:color="000000" w:sz="4" w:space="0"/>
              <w:right w:val="single" w:color="auto" w:sz="4" w:space="0"/>
            </w:tcBorders>
            <w:vAlign w:val="center"/>
          </w:tcPr>
          <w:p w14:paraId="6AB130D6">
            <w:pPr>
              <w:wordWrap w:val="0"/>
              <w:autoSpaceDE w:val="0"/>
              <w:autoSpaceDN w:val="0"/>
              <w:spacing w:line="300" w:lineRule="exact"/>
              <w:jc w:val="center"/>
              <w:rPr>
                <w:rFonts w:asciiTheme="minorEastAsia" w:hAnsiTheme="minorEastAsia"/>
                <w:b/>
                <w:bCs/>
                <w:sz w:val="24"/>
                <w:szCs w:val="24"/>
              </w:rPr>
            </w:pPr>
            <w:r>
              <w:rPr>
                <w:rFonts w:hint="eastAsia" w:asciiTheme="minorEastAsia" w:hAnsiTheme="minorEastAsia"/>
                <w:b/>
                <w:bCs/>
                <w:color w:val="000000"/>
                <w:sz w:val="24"/>
                <w:szCs w:val="24"/>
              </w:rPr>
              <w:t>分值</w:t>
            </w:r>
          </w:p>
        </w:tc>
        <w:tc>
          <w:tcPr>
            <w:tcW w:w="6152" w:type="dxa"/>
            <w:tcBorders>
              <w:top w:val="single" w:color="000000" w:sz="4" w:space="0"/>
              <w:left w:val="single" w:color="auto" w:sz="4" w:space="0"/>
              <w:bottom w:val="single" w:color="000000" w:sz="4" w:space="0"/>
              <w:right w:val="single" w:color="000000" w:sz="4" w:space="0"/>
            </w:tcBorders>
            <w:vAlign w:val="center"/>
          </w:tcPr>
          <w:p w14:paraId="18E492E9">
            <w:pPr>
              <w:wordWrap w:val="0"/>
              <w:autoSpaceDE w:val="0"/>
              <w:autoSpaceDN w:val="0"/>
              <w:spacing w:line="300" w:lineRule="exact"/>
              <w:jc w:val="center"/>
              <w:rPr>
                <w:rFonts w:asciiTheme="minorEastAsia" w:hAnsiTheme="minorEastAsia"/>
                <w:b/>
                <w:bCs/>
                <w:sz w:val="24"/>
                <w:szCs w:val="24"/>
              </w:rPr>
            </w:pPr>
            <w:r>
              <w:rPr>
                <w:rFonts w:hint="eastAsia" w:asciiTheme="minorEastAsia" w:hAnsiTheme="minorEastAsia"/>
                <w:b/>
                <w:bCs/>
                <w:color w:val="000000"/>
                <w:sz w:val="24"/>
                <w:szCs w:val="24"/>
              </w:rPr>
              <w:t>评审内容</w:t>
            </w:r>
          </w:p>
        </w:tc>
      </w:tr>
      <w:tr w14:paraId="1A246C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74" w:hRule="atLeast"/>
        </w:trPr>
        <w:tc>
          <w:tcPr>
            <w:tcW w:w="1260" w:type="dxa"/>
            <w:tcBorders>
              <w:top w:val="single" w:color="000000" w:sz="4" w:space="0"/>
              <w:left w:val="single" w:color="000000" w:sz="4" w:space="0"/>
              <w:bottom w:val="single" w:color="000000" w:sz="4" w:space="0"/>
              <w:right w:val="single" w:color="auto" w:sz="4" w:space="0"/>
            </w:tcBorders>
            <w:shd w:val="clear" w:color="auto" w:fill="auto"/>
            <w:vAlign w:val="center"/>
          </w:tcPr>
          <w:p w14:paraId="4CE8CE19">
            <w:pPr>
              <w:wordWrap w:val="0"/>
              <w:autoSpaceDE w:val="0"/>
              <w:autoSpaceDN w:val="0"/>
              <w:spacing w:line="380" w:lineRule="exact"/>
              <w:ind w:right="120"/>
              <w:jc w:val="center"/>
              <w:rPr>
                <w:rFonts w:asciiTheme="minorEastAsia" w:hAnsiTheme="minorEastAsia"/>
                <w:color w:val="000000"/>
                <w:sz w:val="24"/>
                <w:szCs w:val="24"/>
              </w:rPr>
            </w:pPr>
            <w:r>
              <w:rPr>
                <w:rFonts w:asciiTheme="minorEastAsia" w:hAnsiTheme="minorEastAsia"/>
                <w:color w:val="000000"/>
                <w:sz w:val="24"/>
                <w:szCs w:val="24"/>
              </w:rPr>
              <w:t>一</w:t>
            </w:r>
          </w:p>
        </w:tc>
        <w:tc>
          <w:tcPr>
            <w:tcW w:w="717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AD36DC4">
            <w:pPr>
              <w:wordWrap w:val="0"/>
              <w:autoSpaceDE w:val="0"/>
              <w:autoSpaceDN w:val="0"/>
              <w:spacing w:line="380" w:lineRule="exact"/>
              <w:ind w:right="120"/>
              <w:jc w:val="center"/>
              <w:rPr>
                <w:rFonts w:asciiTheme="minorEastAsia" w:hAnsiTheme="minorEastAsia"/>
                <w:color w:val="000000"/>
                <w:sz w:val="24"/>
                <w:szCs w:val="24"/>
              </w:rPr>
            </w:pPr>
            <w:r>
              <w:rPr>
                <w:rFonts w:hint="eastAsia" w:asciiTheme="minorEastAsia" w:hAnsiTheme="minorEastAsia"/>
                <w:b/>
                <w:bCs/>
                <w:color w:val="000000"/>
                <w:sz w:val="24"/>
                <w:szCs w:val="24"/>
              </w:rPr>
              <w:t>价格部分（10分）</w:t>
            </w:r>
          </w:p>
        </w:tc>
      </w:tr>
      <w:tr w14:paraId="12492D7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32" w:hRule="atLeast"/>
        </w:trPr>
        <w:tc>
          <w:tcPr>
            <w:tcW w:w="1260" w:type="dxa"/>
            <w:tcBorders>
              <w:top w:val="single" w:color="000000" w:sz="4" w:space="0"/>
              <w:left w:val="single" w:color="000000" w:sz="4" w:space="0"/>
              <w:bottom w:val="single" w:color="auto" w:sz="4" w:space="0"/>
              <w:right w:val="single" w:color="auto" w:sz="4" w:space="0"/>
            </w:tcBorders>
            <w:shd w:val="clear" w:color="auto" w:fill="auto"/>
            <w:vAlign w:val="center"/>
          </w:tcPr>
          <w:p w14:paraId="07A38DC5">
            <w:pPr>
              <w:wordWrap w:val="0"/>
              <w:autoSpaceDE w:val="0"/>
              <w:autoSpaceDN w:val="0"/>
              <w:spacing w:before="109" w:line="311" w:lineRule="exact"/>
              <w:jc w:val="center"/>
              <w:rPr>
                <w:rFonts w:asciiTheme="minorEastAsia" w:hAnsiTheme="minorEastAsia"/>
                <w:sz w:val="24"/>
                <w:szCs w:val="24"/>
              </w:rPr>
            </w:pPr>
            <w:r>
              <w:rPr>
                <w:rFonts w:hint="eastAsia" w:asciiTheme="minorEastAsia" w:hAnsiTheme="minorEastAsia"/>
                <w:color w:val="000000"/>
                <w:sz w:val="24"/>
                <w:szCs w:val="24"/>
              </w:rPr>
              <w:t>价格分</w:t>
            </w:r>
          </w:p>
        </w:tc>
        <w:tc>
          <w:tcPr>
            <w:tcW w:w="1021" w:type="dxa"/>
            <w:tcBorders>
              <w:top w:val="single" w:color="000000" w:sz="4" w:space="0"/>
              <w:left w:val="single" w:color="auto" w:sz="4" w:space="0"/>
              <w:bottom w:val="single" w:color="auto" w:sz="4" w:space="0"/>
              <w:right w:val="single" w:color="auto" w:sz="4" w:space="0"/>
            </w:tcBorders>
            <w:shd w:val="clear" w:color="auto" w:fill="auto"/>
            <w:vAlign w:val="center"/>
          </w:tcPr>
          <w:p w14:paraId="0D7DC080">
            <w:pPr>
              <w:wordWrap w:val="0"/>
              <w:autoSpaceDE w:val="0"/>
              <w:autoSpaceDN w:val="0"/>
              <w:spacing w:before="109" w:line="311" w:lineRule="exact"/>
              <w:jc w:val="center"/>
              <w:rPr>
                <w:rFonts w:asciiTheme="minorEastAsia" w:hAnsiTheme="minorEastAsia"/>
                <w:sz w:val="24"/>
                <w:szCs w:val="24"/>
              </w:rPr>
            </w:pPr>
            <w:r>
              <w:rPr>
                <w:rFonts w:hint="eastAsia" w:asciiTheme="minorEastAsia" w:hAnsiTheme="minorEastAsia"/>
                <w:color w:val="000000"/>
                <w:sz w:val="24"/>
                <w:szCs w:val="24"/>
              </w:rPr>
              <w:t>10分</w:t>
            </w:r>
          </w:p>
        </w:tc>
        <w:tc>
          <w:tcPr>
            <w:tcW w:w="6152" w:type="dxa"/>
            <w:tcBorders>
              <w:top w:val="single" w:color="000000" w:sz="4" w:space="0"/>
              <w:left w:val="single" w:color="auto" w:sz="4" w:space="0"/>
              <w:bottom w:val="single" w:color="auto" w:sz="4" w:space="0"/>
              <w:right w:val="single" w:color="000000" w:sz="4" w:space="0"/>
            </w:tcBorders>
            <w:shd w:val="clear" w:color="auto" w:fill="auto"/>
            <w:vAlign w:val="center"/>
          </w:tcPr>
          <w:p w14:paraId="4A088EB4">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价格得分（10分）：价格分采用低价优先法计算，即满足招标文件要求且投标价格最低的投标报价为评标基准价，其价格分为满分。其他投标人的价格分统一按下列公式计算：</w:t>
            </w:r>
          </w:p>
          <w:p w14:paraId="0634AB47">
            <w:pPr>
              <w:wordWrap w:val="0"/>
              <w:autoSpaceDE w:val="0"/>
              <w:autoSpaceDN w:val="0"/>
              <w:spacing w:line="380" w:lineRule="exact"/>
              <w:ind w:left="60" w:right="120" w:firstLine="480" w:firstLineChars="200"/>
              <w:jc w:val="left"/>
              <w:rPr>
                <w:rFonts w:asciiTheme="minorEastAsia" w:hAnsiTheme="minorEastAsia"/>
                <w:sz w:val="24"/>
                <w:szCs w:val="24"/>
              </w:rPr>
            </w:pPr>
            <w:r>
              <w:rPr>
                <w:rFonts w:hint="eastAsia" w:asciiTheme="minorEastAsia" w:hAnsiTheme="minorEastAsia"/>
                <w:color w:val="000000"/>
                <w:sz w:val="24"/>
                <w:szCs w:val="24"/>
              </w:rPr>
              <w:t>投标报价得分=（评标基准价/投标报价）*10分</w:t>
            </w:r>
          </w:p>
        </w:tc>
      </w:tr>
      <w:tr w14:paraId="6E3AE8A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53" w:hRule="atLeast"/>
        </w:trPr>
        <w:tc>
          <w:tcPr>
            <w:tcW w:w="1260" w:type="dxa"/>
            <w:tcBorders>
              <w:top w:val="single" w:color="000000" w:sz="4" w:space="0"/>
              <w:left w:val="single" w:color="000000" w:sz="4" w:space="0"/>
              <w:bottom w:val="single" w:color="000000" w:sz="4" w:space="0"/>
              <w:right w:val="single" w:color="auto" w:sz="4" w:space="0"/>
            </w:tcBorders>
          </w:tcPr>
          <w:p w14:paraId="1DB16B87">
            <w:pPr>
              <w:wordWrap w:val="0"/>
              <w:autoSpaceDE w:val="0"/>
              <w:autoSpaceDN w:val="0"/>
              <w:spacing w:line="380" w:lineRule="exact"/>
              <w:ind w:right="120"/>
              <w:jc w:val="center"/>
              <w:rPr>
                <w:rFonts w:asciiTheme="minorEastAsia" w:hAnsiTheme="minorEastAsia"/>
                <w:b/>
                <w:color w:val="000000"/>
                <w:sz w:val="24"/>
                <w:szCs w:val="24"/>
              </w:rPr>
            </w:pPr>
            <w:r>
              <w:rPr>
                <w:rFonts w:asciiTheme="minorEastAsia" w:hAnsiTheme="minorEastAsia"/>
                <w:b/>
                <w:color w:val="000000"/>
                <w:sz w:val="24"/>
                <w:szCs w:val="24"/>
              </w:rPr>
              <w:t>二</w:t>
            </w:r>
          </w:p>
        </w:tc>
        <w:tc>
          <w:tcPr>
            <w:tcW w:w="7173" w:type="dxa"/>
            <w:gridSpan w:val="2"/>
            <w:tcBorders>
              <w:top w:val="single" w:color="000000" w:sz="4" w:space="0"/>
              <w:left w:val="single" w:color="auto" w:sz="4" w:space="0"/>
              <w:bottom w:val="single" w:color="000000" w:sz="4" w:space="0"/>
              <w:right w:val="single" w:color="000000" w:sz="4" w:space="0"/>
            </w:tcBorders>
          </w:tcPr>
          <w:p w14:paraId="29385A7D">
            <w:pPr>
              <w:autoSpaceDE w:val="0"/>
              <w:autoSpaceDN w:val="0"/>
              <w:spacing w:line="380" w:lineRule="exact"/>
              <w:ind w:right="120"/>
              <w:jc w:val="center"/>
              <w:rPr>
                <w:rFonts w:asciiTheme="minorEastAsia" w:hAnsiTheme="minorEastAsia"/>
                <w:b/>
                <w:color w:val="000000"/>
                <w:sz w:val="24"/>
                <w:szCs w:val="24"/>
              </w:rPr>
            </w:pPr>
            <w:r>
              <w:rPr>
                <w:rFonts w:hint="eastAsia" w:asciiTheme="minorEastAsia" w:hAnsiTheme="minorEastAsia"/>
                <w:b/>
                <w:color w:val="000000"/>
                <w:sz w:val="24"/>
                <w:szCs w:val="24"/>
              </w:rPr>
              <w:t>技术部分（34分）</w:t>
            </w:r>
          </w:p>
        </w:tc>
      </w:tr>
      <w:tr w14:paraId="7783BFF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36" w:hRule="atLeast"/>
        </w:trPr>
        <w:tc>
          <w:tcPr>
            <w:tcW w:w="1260" w:type="dxa"/>
            <w:tcBorders>
              <w:top w:val="single" w:color="000000" w:sz="4" w:space="0"/>
              <w:left w:val="single" w:color="000000" w:sz="4" w:space="0"/>
              <w:bottom w:val="single" w:color="000000" w:sz="4" w:space="0"/>
              <w:right w:val="single" w:color="auto" w:sz="4" w:space="0"/>
            </w:tcBorders>
          </w:tcPr>
          <w:p w14:paraId="0AD16D07">
            <w:pPr>
              <w:wordWrap w:val="0"/>
              <w:autoSpaceDE w:val="0"/>
              <w:autoSpaceDN w:val="0"/>
              <w:spacing w:line="380" w:lineRule="exact"/>
              <w:ind w:right="120"/>
              <w:jc w:val="center"/>
              <w:rPr>
                <w:rFonts w:asciiTheme="minorEastAsia" w:hAnsiTheme="minorEastAsia"/>
                <w:b/>
                <w:color w:val="000000"/>
                <w:sz w:val="24"/>
                <w:szCs w:val="24"/>
              </w:rPr>
            </w:pPr>
            <w:bookmarkStart w:id="2" w:name="_Hlk221781143"/>
          </w:p>
          <w:p w14:paraId="2C8AC2C0">
            <w:pPr>
              <w:wordWrap w:val="0"/>
              <w:autoSpaceDE w:val="0"/>
              <w:autoSpaceDN w:val="0"/>
              <w:spacing w:line="380" w:lineRule="exact"/>
              <w:ind w:right="120"/>
              <w:jc w:val="center"/>
              <w:rPr>
                <w:rFonts w:asciiTheme="minorEastAsia" w:hAnsiTheme="minorEastAsia"/>
                <w:b/>
                <w:color w:val="000000"/>
                <w:sz w:val="24"/>
                <w:szCs w:val="24"/>
              </w:rPr>
            </w:pPr>
          </w:p>
          <w:p w14:paraId="24D83577">
            <w:pPr>
              <w:wordWrap w:val="0"/>
              <w:autoSpaceDE w:val="0"/>
              <w:autoSpaceDN w:val="0"/>
              <w:spacing w:line="380" w:lineRule="exact"/>
              <w:ind w:right="120"/>
              <w:jc w:val="center"/>
              <w:rPr>
                <w:rFonts w:asciiTheme="minorEastAsia" w:hAnsiTheme="minorEastAsia"/>
                <w:color w:val="000000"/>
                <w:sz w:val="24"/>
                <w:szCs w:val="24"/>
              </w:rPr>
            </w:pPr>
            <w:bookmarkStart w:id="3" w:name="OLE_LINK25"/>
            <w:bookmarkStart w:id="4" w:name="OLE_LINK26"/>
            <w:r>
              <w:rPr>
                <w:rFonts w:asciiTheme="minorEastAsia" w:hAnsiTheme="minorEastAsia"/>
                <w:color w:val="000000"/>
                <w:sz w:val="24"/>
                <w:szCs w:val="24"/>
              </w:rPr>
              <w:t>技术要求</w:t>
            </w:r>
            <w:bookmarkEnd w:id="3"/>
            <w:bookmarkEnd w:id="4"/>
          </w:p>
        </w:tc>
        <w:tc>
          <w:tcPr>
            <w:tcW w:w="7173" w:type="dxa"/>
            <w:gridSpan w:val="2"/>
            <w:tcBorders>
              <w:top w:val="single" w:color="000000" w:sz="4" w:space="0"/>
              <w:left w:val="single" w:color="auto" w:sz="4" w:space="0"/>
              <w:bottom w:val="single" w:color="000000" w:sz="4" w:space="0"/>
              <w:right w:val="single" w:color="000000" w:sz="4" w:space="0"/>
            </w:tcBorders>
          </w:tcPr>
          <w:p w14:paraId="22FB3F85">
            <w:pPr>
              <w:autoSpaceDE w:val="0"/>
              <w:autoSpaceDN w:val="0"/>
              <w:spacing w:line="380" w:lineRule="exact"/>
              <w:ind w:right="120" w:firstLine="480" w:firstLineChars="200"/>
              <w:jc w:val="left"/>
              <w:rPr>
                <w:rFonts w:asciiTheme="minorEastAsia" w:hAnsiTheme="minorEastAsia"/>
                <w:color w:val="000000"/>
                <w:sz w:val="24"/>
                <w:szCs w:val="24"/>
              </w:rPr>
            </w:pPr>
            <w:bookmarkStart w:id="5" w:name="OLE_LINK27"/>
            <w:r>
              <w:rPr>
                <w:rFonts w:hint="eastAsia" w:asciiTheme="minorEastAsia" w:hAnsiTheme="minorEastAsia"/>
                <w:color w:val="000000"/>
                <w:sz w:val="24"/>
                <w:szCs w:val="24"/>
              </w:rPr>
              <w:t>基本项：投标人完全满足采购需求中“技术参数及要求”，如投标人不能响应满足做无效投标处理。</w:t>
            </w:r>
          </w:p>
          <w:p w14:paraId="043B7793">
            <w:pPr>
              <w:autoSpaceDE w:val="0"/>
              <w:autoSpaceDN w:val="0"/>
              <w:spacing w:line="380" w:lineRule="exact"/>
              <w:ind w:right="120" w:firstLine="480" w:firstLineChars="200"/>
              <w:jc w:val="left"/>
              <w:rPr>
                <w:rFonts w:ascii="微软雅黑" w:hAnsi="微软雅黑" w:eastAsia="微软雅黑"/>
                <w:color w:val="000000"/>
                <w:sz w:val="27"/>
                <w:szCs w:val="27"/>
              </w:rPr>
            </w:pPr>
            <w:r>
              <w:rPr>
                <w:rFonts w:hint="eastAsia" w:asciiTheme="minorEastAsia" w:hAnsiTheme="minorEastAsia"/>
                <w:color w:val="000000"/>
                <w:sz w:val="24"/>
                <w:szCs w:val="24"/>
              </w:rPr>
              <w:t>评审依据：采购需求中的“技术响应（偏离说明表）”。注：投标人应如实填写偏离情况，如果投标人所响应技术要求明显不符合招标文件要求却在技术响应偏离表中作“满足”、“响应”等说明的，作投标无效处理。</w:t>
            </w:r>
            <w:bookmarkEnd w:id="5"/>
          </w:p>
        </w:tc>
      </w:tr>
      <w:bookmarkEnd w:id="2"/>
      <w:tr w14:paraId="43E306C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0" w:hRule="atLeast"/>
        </w:trPr>
        <w:tc>
          <w:tcPr>
            <w:tcW w:w="1260" w:type="dxa"/>
            <w:tcBorders>
              <w:top w:val="single" w:color="000000" w:sz="4" w:space="0"/>
              <w:left w:val="single" w:color="000000" w:sz="4" w:space="0"/>
              <w:bottom w:val="single" w:color="000000" w:sz="4" w:space="0"/>
              <w:right w:val="single" w:color="auto" w:sz="4" w:space="0"/>
            </w:tcBorders>
            <w:vAlign w:val="center"/>
          </w:tcPr>
          <w:p w14:paraId="1571FFB3">
            <w:pPr>
              <w:wordWrap w:val="0"/>
              <w:autoSpaceDE w:val="0"/>
              <w:autoSpaceDN w:val="0"/>
              <w:spacing w:line="400" w:lineRule="exact"/>
              <w:jc w:val="center"/>
              <w:rPr>
                <w:rFonts w:asciiTheme="minorEastAsia" w:hAnsiTheme="minorEastAsia"/>
                <w:sz w:val="24"/>
                <w:szCs w:val="24"/>
              </w:rPr>
            </w:pPr>
            <w:r>
              <w:rPr>
                <w:rFonts w:hint="eastAsia" w:asciiTheme="minorEastAsia" w:hAnsiTheme="minorEastAsia"/>
                <w:color w:val="000000"/>
                <w:sz w:val="24"/>
                <w:szCs w:val="24"/>
              </w:rPr>
              <w:t>服务方案</w:t>
            </w:r>
          </w:p>
        </w:tc>
        <w:tc>
          <w:tcPr>
            <w:tcW w:w="1021" w:type="dxa"/>
            <w:tcBorders>
              <w:top w:val="single" w:color="000000" w:sz="4" w:space="0"/>
              <w:left w:val="single" w:color="auto" w:sz="4" w:space="0"/>
              <w:bottom w:val="single" w:color="000000" w:sz="4" w:space="0"/>
              <w:right w:val="single" w:color="auto" w:sz="4" w:space="0"/>
            </w:tcBorders>
            <w:vAlign w:val="center"/>
          </w:tcPr>
          <w:p w14:paraId="4A65C605">
            <w:pPr>
              <w:wordWrap w:val="0"/>
              <w:autoSpaceDE w:val="0"/>
              <w:autoSpaceDN w:val="0"/>
              <w:spacing w:line="400" w:lineRule="exact"/>
              <w:jc w:val="center"/>
              <w:rPr>
                <w:rFonts w:asciiTheme="minorEastAsia" w:hAnsiTheme="minorEastAsia"/>
                <w:sz w:val="24"/>
                <w:szCs w:val="24"/>
              </w:rPr>
            </w:pPr>
            <w:r>
              <w:rPr>
                <w:rFonts w:hint="eastAsia" w:asciiTheme="minorEastAsia" w:hAnsiTheme="minorEastAsia"/>
                <w:color w:val="000000"/>
                <w:sz w:val="24"/>
                <w:szCs w:val="24"/>
              </w:rPr>
              <w:t>9分</w:t>
            </w:r>
          </w:p>
        </w:tc>
        <w:tc>
          <w:tcPr>
            <w:tcW w:w="6152" w:type="dxa"/>
            <w:tcBorders>
              <w:top w:val="single" w:color="000000" w:sz="4" w:space="0"/>
              <w:left w:val="single" w:color="auto" w:sz="4" w:space="0"/>
              <w:bottom w:val="single" w:color="000000" w:sz="4" w:space="0"/>
              <w:right w:val="single" w:color="000000" w:sz="4" w:space="0"/>
            </w:tcBorders>
          </w:tcPr>
          <w:p w14:paraId="75F429C2">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供应商制定的服务方案（①项目运营管理②业务服务流程③投诉处理④人员招聘⑤培训⑥劳动用工管理⑦劳动风险防控⑧人员档案管理⑨人员工伤处理制度及相关措施。对照本项目明确的具体需求（可作为附件列明，如“投诉处理需在24小时内响应、7个工作日内办结”“工伤处理需协助完成工伤认定及理赔全流程”等）。</w:t>
            </w:r>
          </w:p>
          <w:p w14:paraId="3FCA5E2B">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每详尽提供1项得1分，最高得9分。</w:t>
            </w:r>
          </w:p>
          <w:p w14:paraId="467D24B7">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评审依据：投标文件中提供服务方案并加盖公章，未提供不得分。</w:t>
            </w:r>
          </w:p>
        </w:tc>
      </w:tr>
      <w:tr w14:paraId="4F1DC89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70"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2F68BE41">
            <w:pPr>
              <w:wordWrap w:val="0"/>
              <w:autoSpaceDE w:val="0"/>
              <w:autoSpaceDN w:val="0"/>
              <w:spacing w:line="400" w:lineRule="exact"/>
              <w:jc w:val="center"/>
              <w:rPr>
                <w:rFonts w:asciiTheme="minorEastAsia" w:hAnsiTheme="minorEastAsia"/>
                <w:color w:val="000000"/>
                <w:sz w:val="24"/>
                <w:szCs w:val="24"/>
              </w:rPr>
            </w:pPr>
            <w:r>
              <w:rPr>
                <w:rFonts w:hint="eastAsia" w:asciiTheme="minorEastAsia" w:hAnsiTheme="minorEastAsia"/>
                <w:color w:val="000000"/>
                <w:sz w:val="24"/>
                <w:szCs w:val="24"/>
              </w:rPr>
              <w:t>项目团队情况</w:t>
            </w:r>
          </w:p>
        </w:tc>
        <w:tc>
          <w:tcPr>
            <w:tcW w:w="1021" w:type="dxa"/>
            <w:tcBorders>
              <w:top w:val="single" w:color="000000" w:sz="4" w:space="0"/>
              <w:left w:val="single" w:color="000000" w:sz="4" w:space="0"/>
              <w:bottom w:val="single" w:color="000000" w:sz="4" w:space="0"/>
              <w:right w:val="single" w:color="000000" w:sz="4" w:space="0"/>
            </w:tcBorders>
            <w:vAlign w:val="center"/>
          </w:tcPr>
          <w:p w14:paraId="5B338DAD">
            <w:pPr>
              <w:wordWrap w:val="0"/>
              <w:autoSpaceDE w:val="0"/>
              <w:autoSpaceDN w:val="0"/>
              <w:spacing w:line="400" w:lineRule="exact"/>
              <w:jc w:val="center"/>
              <w:rPr>
                <w:rFonts w:asciiTheme="minorEastAsia" w:hAnsiTheme="minorEastAsia"/>
                <w:color w:val="000000"/>
                <w:sz w:val="24"/>
                <w:szCs w:val="24"/>
              </w:rPr>
            </w:pPr>
            <w:r>
              <w:rPr>
                <w:rFonts w:hint="eastAsia" w:asciiTheme="minorEastAsia" w:hAnsiTheme="minorEastAsia"/>
                <w:color w:val="000000"/>
                <w:sz w:val="24"/>
                <w:szCs w:val="24"/>
              </w:rPr>
              <w:t>20分</w:t>
            </w:r>
          </w:p>
        </w:tc>
        <w:tc>
          <w:tcPr>
            <w:tcW w:w="6152" w:type="dxa"/>
            <w:tcBorders>
              <w:top w:val="single" w:color="000000" w:sz="4" w:space="0"/>
              <w:left w:val="single" w:color="000000" w:sz="4" w:space="0"/>
              <w:bottom w:val="single" w:color="000000" w:sz="4" w:space="0"/>
              <w:right w:val="single" w:color="000000" w:sz="4" w:space="0"/>
            </w:tcBorders>
          </w:tcPr>
          <w:p w14:paraId="45B7F4B8">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1.项目管理人员资质（15分）：供应商项目团队中 具有企业人力资源管理师（三四级得1分，二级得2分，一级得3分/人）或具有人力资源管理师经济专业技术资格（中级得2分，高级的3分/人）。同一人同一类证书按最高级别计分，不同类别证书可累计计分，累计得分不超过15分。</w:t>
            </w:r>
          </w:p>
          <w:p w14:paraId="3200E6A3">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评审依据：提供证书复印件并加盖公章，有效的劳动合同复印件或近6个月内任意1个月的缴纳社保记录，未提供不得分。</w:t>
            </w:r>
          </w:p>
          <w:p w14:paraId="4D8089F3">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2.供应商项目团队中团队配备专业法律顾问或劳动争议调解专员或职业指导师，得2.5分/人，最多得5分。</w:t>
            </w:r>
          </w:p>
          <w:p w14:paraId="5F237C3B">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评审依据：提供法律顾问聘用协议或劳动关系协调员证书或职业指导师证书复印件；有效的劳动合同复印件或近6个月内任意1个月的缴纳社保记录；并加盖公章，未提供不得分。</w:t>
            </w:r>
          </w:p>
        </w:tc>
      </w:tr>
      <w:tr w14:paraId="625DA3E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42" w:hRule="atLeast"/>
        </w:trPr>
        <w:tc>
          <w:tcPr>
            <w:tcW w:w="1260" w:type="dxa"/>
            <w:tcBorders>
              <w:top w:val="single" w:color="000000" w:sz="4" w:space="0"/>
              <w:left w:val="single" w:color="000000" w:sz="4" w:space="0"/>
              <w:bottom w:val="single" w:color="000000" w:sz="4" w:space="0"/>
              <w:right w:val="single" w:color="auto" w:sz="4" w:space="0"/>
            </w:tcBorders>
            <w:shd w:val="clear" w:color="auto" w:fill="auto"/>
            <w:vAlign w:val="center"/>
          </w:tcPr>
          <w:p w14:paraId="13C2D06D">
            <w:pPr>
              <w:wordWrap w:val="0"/>
              <w:autoSpaceDE w:val="0"/>
              <w:autoSpaceDN w:val="0"/>
              <w:spacing w:line="400" w:lineRule="exact"/>
              <w:jc w:val="center"/>
              <w:rPr>
                <w:rFonts w:asciiTheme="minorEastAsia" w:hAnsiTheme="minorEastAsia"/>
                <w:sz w:val="24"/>
                <w:szCs w:val="24"/>
              </w:rPr>
            </w:pPr>
            <w:r>
              <w:rPr>
                <w:rFonts w:hint="eastAsia" w:asciiTheme="minorEastAsia" w:hAnsiTheme="minorEastAsia"/>
                <w:color w:val="000000"/>
                <w:sz w:val="24"/>
                <w:szCs w:val="24"/>
              </w:rPr>
              <w:t>招聘服务</w:t>
            </w:r>
          </w:p>
        </w:tc>
        <w:tc>
          <w:tcPr>
            <w:tcW w:w="1021" w:type="dxa"/>
            <w:tcBorders>
              <w:top w:val="single" w:color="000000" w:sz="4" w:space="0"/>
              <w:left w:val="single" w:color="auto" w:sz="4" w:space="0"/>
              <w:bottom w:val="single" w:color="000000" w:sz="4" w:space="0"/>
              <w:right w:val="single" w:color="auto" w:sz="4" w:space="0"/>
            </w:tcBorders>
            <w:shd w:val="clear" w:color="auto" w:fill="auto"/>
            <w:vAlign w:val="center"/>
          </w:tcPr>
          <w:p w14:paraId="1CBF46DC">
            <w:pPr>
              <w:wordWrap w:val="0"/>
              <w:autoSpaceDE w:val="0"/>
              <w:autoSpaceDN w:val="0"/>
              <w:spacing w:line="400" w:lineRule="exact"/>
              <w:jc w:val="center"/>
              <w:rPr>
                <w:rFonts w:asciiTheme="minorEastAsia" w:hAnsiTheme="minorEastAsia"/>
                <w:sz w:val="24"/>
                <w:szCs w:val="24"/>
              </w:rPr>
            </w:pPr>
            <w:r>
              <w:rPr>
                <w:rFonts w:hint="eastAsia" w:asciiTheme="minorEastAsia" w:hAnsiTheme="minorEastAsia"/>
                <w:color w:val="000000"/>
                <w:sz w:val="24"/>
                <w:szCs w:val="24"/>
              </w:rPr>
              <w:t>5分</w:t>
            </w:r>
          </w:p>
        </w:tc>
        <w:tc>
          <w:tcPr>
            <w:tcW w:w="6152" w:type="dxa"/>
            <w:tcBorders>
              <w:top w:val="single" w:color="000000" w:sz="4" w:space="0"/>
              <w:left w:val="single" w:color="auto" w:sz="4" w:space="0"/>
              <w:bottom w:val="single" w:color="000000" w:sz="4" w:space="0"/>
              <w:right w:val="single" w:color="auto" w:sz="4" w:space="0"/>
            </w:tcBorders>
            <w:shd w:val="clear" w:color="auto" w:fill="auto"/>
            <w:vAlign w:val="center"/>
          </w:tcPr>
          <w:p w14:paraId="097AF048">
            <w:pPr>
              <w:wordWrap w:val="0"/>
              <w:autoSpaceDE w:val="0"/>
              <w:autoSpaceDN w:val="0"/>
              <w:spacing w:line="380" w:lineRule="exact"/>
              <w:ind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1.具备完善的招聘渠道（如合作第三方招聘平台、线下招聘点等），得2分。</w:t>
            </w:r>
          </w:p>
          <w:p w14:paraId="2881FDEE">
            <w:pPr>
              <w:wordWrap w:val="0"/>
              <w:autoSpaceDE w:val="0"/>
              <w:autoSpaceDN w:val="0"/>
              <w:spacing w:line="380" w:lineRule="exact"/>
              <w:ind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评审依据：提供网站平台招聘平台截图或第三方招聘平台合作协议等，并加盖公章。</w:t>
            </w:r>
          </w:p>
          <w:p w14:paraId="201DD58A">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2.针对医院派遣岗位（司机、担架员、窗口服务、导诊等）制定的招聘适配方案，需明确岗位任职要求、招聘渠道匹配度、技能筛查措施、背景调查流程、岗前适配培训计划等内容，得3分。</w:t>
            </w:r>
          </w:p>
          <w:p w14:paraId="6144E064">
            <w:pPr>
              <w:wordWrap w:val="0"/>
              <w:autoSpaceDE w:val="0"/>
              <w:autoSpaceDN w:val="0"/>
              <w:spacing w:line="380" w:lineRule="exact"/>
              <w:ind w:left="60" w:right="120" w:firstLine="480" w:firstLineChars="200"/>
              <w:jc w:val="left"/>
              <w:rPr>
                <w:rFonts w:asciiTheme="minorEastAsia" w:hAnsiTheme="minorEastAsia"/>
                <w:sz w:val="24"/>
                <w:szCs w:val="24"/>
              </w:rPr>
            </w:pPr>
            <w:r>
              <w:rPr>
                <w:rFonts w:hint="eastAsia" w:asciiTheme="minorEastAsia" w:hAnsiTheme="minorEastAsia"/>
                <w:color w:val="000000"/>
                <w:sz w:val="24"/>
                <w:szCs w:val="24"/>
              </w:rPr>
              <w:t>评审依据：提供针对医院派遣岗位（后勤）的招聘适配方案并加盖公章，未提供或提供不全不得分。</w:t>
            </w:r>
          </w:p>
        </w:tc>
      </w:tr>
      <w:tr w14:paraId="7168ED9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06" w:hRule="atLeast"/>
        </w:trPr>
        <w:tc>
          <w:tcPr>
            <w:tcW w:w="1260" w:type="dxa"/>
            <w:tcBorders>
              <w:top w:val="single" w:color="000000" w:sz="4" w:space="0"/>
              <w:left w:val="single" w:color="000000" w:sz="4" w:space="0"/>
              <w:bottom w:val="single" w:color="000000" w:sz="4" w:space="0"/>
              <w:right w:val="single" w:color="auto" w:sz="4" w:space="0"/>
            </w:tcBorders>
          </w:tcPr>
          <w:p w14:paraId="58EAAA12">
            <w:pPr>
              <w:autoSpaceDE w:val="0"/>
              <w:autoSpaceDN w:val="0"/>
              <w:spacing w:line="380" w:lineRule="exact"/>
              <w:jc w:val="center"/>
              <w:rPr>
                <w:rFonts w:asciiTheme="minorEastAsia" w:hAnsiTheme="minorEastAsia"/>
                <w:color w:val="000000"/>
                <w:sz w:val="24"/>
                <w:szCs w:val="24"/>
              </w:rPr>
            </w:pPr>
            <w:r>
              <w:rPr>
                <w:rFonts w:asciiTheme="minorEastAsia" w:hAnsiTheme="minorEastAsia"/>
                <w:color w:val="000000"/>
                <w:sz w:val="24"/>
                <w:szCs w:val="24"/>
              </w:rPr>
              <w:t>三</w:t>
            </w:r>
          </w:p>
        </w:tc>
        <w:tc>
          <w:tcPr>
            <w:tcW w:w="7173" w:type="dxa"/>
            <w:gridSpan w:val="2"/>
            <w:tcBorders>
              <w:top w:val="single" w:color="000000" w:sz="4" w:space="0"/>
              <w:left w:val="single" w:color="000000" w:sz="4" w:space="0"/>
              <w:bottom w:val="single" w:color="000000" w:sz="4" w:space="0"/>
              <w:right w:val="single" w:color="auto" w:sz="4" w:space="0"/>
            </w:tcBorders>
          </w:tcPr>
          <w:p w14:paraId="69E3CEAA">
            <w:pPr>
              <w:autoSpaceDE w:val="0"/>
              <w:autoSpaceDN w:val="0"/>
              <w:spacing w:line="380" w:lineRule="exact"/>
              <w:jc w:val="center"/>
              <w:rPr>
                <w:rFonts w:asciiTheme="minorEastAsia" w:hAnsiTheme="minorEastAsia"/>
                <w:color w:val="000000"/>
                <w:sz w:val="24"/>
                <w:szCs w:val="24"/>
              </w:rPr>
            </w:pPr>
            <w:r>
              <w:rPr>
                <w:rFonts w:hint="eastAsia" w:asciiTheme="minorEastAsia" w:hAnsiTheme="minorEastAsia"/>
                <w:b/>
                <w:bCs/>
                <w:color w:val="000000"/>
                <w:sz w:val="24"/>
                <w:szCs w:val="24"/>
              </w:rPr>
              <w:t>商务部分（16分）</w:t>
            </w:r>
          </w:p>
        </w:tc>
      </w:tr>
      <w:tr w14:paraId="4AB6B43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06" w:hRule="atLeast"/>
        </w:trPr>
        <w:tc>
          <w:tcPr>
            <w:tcW w:w="1260" w:type="dxa"/>
            <w:tcBorders>
              <w:top w:val="single" w:color="000000" w:sz="4" w:space="0"/>
              <w:left w:val="single" w:color="000000" w:sz="4" w:space="0"/>
              <w:bottom w:val="single" w:color="000000" w:sz="4" w:space="0"/>
              <w:right w:val="single" w:color="auto" w:sz="4" w:space="0"/>
            </w:tcBorders>
          </w:tcPr>
          <w:p w14:paraId="34F5BB0C">
            <w:pPr>
              <w:jc w:val="center"/>
              <w:rPr>
                <w:rFonts w:asciiTheme="minorEastAsia" w:hAnsiTheme="minorEastAsia"/>
                <w:color w:val="000000"/>
                <w:sz w:val="24"/>
                <w:szCs w:val="24"/>
              </w:rPr>
            </w:pPr>
          </w:p>
          <w:p w14:paraId="49FC61ED">
            <w:pPr>
              <w:jc w:val="center"/>
              <w:rPr>
                <w:rFonts w:asciiTheme="minorEastAsia" w:hAnsiTheme="minorEastAsia"/>
                <w:color w:val="000000"/>
                <w:sz w:val="24"/>
                <w:szCs w:val="24"/>
              </w:rPr>
            </w:pPr>
          </w:p>
          <w:p w14:paraId="12A2B197">
            <w:pPr>
              <w:jc w:val="center"/>
              <w:rPr>
                <w:rFonts w:asciiTheme="minorEastAsia" w:hAnsiTheme="minorEastAsia"/>
                <w:color w:val="000000"/>
                <w:sz w:val="24"/>
                <w:szCs w:val="24"/>
              </w:rPr>
            </w:pPr>
          </w:p>
          <w:p w14:paraId="4843512C">
            <w:pPr>
              <w:jc w:val="center"/>
            </w:pPr>
            <w:r>
              <w:rPr>
                <w:rFonts w:hint="eastAsia" w:asciiTheme="minorEastAsia" w:hAnsiTheme="minorEastAsia"/>
                <w:color w:val="000000"/>
                <w:sz w:val="24"/>
                <w:szCs w:val="24"/>
              </w:rPr>
              <w:t>商务</w:t>
            </w:r>
            <w:r>
              <w:rPr>
                <w:rFonts w:asciiTheme="minorEastAsia" w:hAnsiTheme="minorEastAsia"/>
                <w:color w:val="000000"/>
                <w:sz w:val="24"/>
                <w:szCs w:val="24"/>
              </w:rPr>
              <w:t>要求</w:t>
            </w:r>
          </w:p>
        </w:tc>
        <w:tc>
          <w:tcPr>
            <w:tcW w:w="7173" w:type="dxa"/>
            <w:gridSpan w:val="2"/>
            <w:tcBorders>
              <w:top w:val="single" w:color="000000" w:sz="4" w:space="0"/>
              <w:left w:val="single" w:color="000000" w:sz="4" w:space="0"/>
              <w:bottom w:val="single" w:color="000000" w:sz="4" w:space="0"/>
              <w:right w:val="single" w:color="auto" w:sz="4" w:space="0"/>
            </w:tcBorders>
          </w:tcPr>
          <w:p w14:paraId="684B4761">
            <w:pPr>
              <w:autoSpaceDE w:val="0"/>
              <w:autoSpaceDN w:val="0"/>
              <w:spacing w:line="380" w:lineRule="exact"/>
              <w:ind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基本项：投标人完全满足采购需求中“商务参数及要求”，如投标人不能响应满足做无效投标处理。</w:t>
            </w:r>
          </w:p>
          <w:p w14:paraId="567F61A8">
            <w:r>
              <w:rPr>
                <w:rFonts w:hint="eastAsia" w:asciiTheme="minorEastAsia" w:hAnsiTheme="minorEastAsia"/>
                <w:color w:val="000000"/>
                <w:sz w:val="24"/>
                <w:szCs w:val="24"/>
              </w:rPr>
              <w:t>评审依据：采购需求中的“商务响应（偏离说明表）”。注：投标人应如实填写偏离情况，如果投标人所响应商务要求明显不符合招标文件要求却在商务响应偏离表中作“满足”、“响应”等说明的，作投标无效处理。</w:t>
            </w:r>
            <w:bookmarkStart w:id="6" w:name="_GoBack"/>
            <w:bookmarkEnd w:id="6"/>
          </w:p>
        </w:tc>
      </w:tr>
      <w:tr w14:paraId="37D646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09" w:hRule="atLeast"/>
        </w:trPr>
        <w:tc>
          <w:tcPr>
            <w:tcW w:w="1260" w:type="dxa"/>
            <w:tcBorders>
              <w:top w:val="single" w:color="000000" w:sz="4" w:space="0"/>
              <w:left w:val="single" w:color="000000" w:sz="4" w:space="0"/>
              <w:bottom w:val="single" w:color="000000" w:sz="4" w:space="0"/>
              <w:right w:val="single" w:color="auto" w:sz="4" w:space="0"/>
            </w:tcBorders>
            <w:shd w:val="clear" w:color="auto" w:fill="auto"/>
            <w:vAlign w:val="center"/>
          </w:tcPr>
          <w:p w14:paraId="69AB5ECB">
            <w:pPr>
              <w:wordWrap w:val="0"/>
              <w:autoSpaceDE w:val="0"/>
              <w:autoSpaceDN w:val="0"/>
              <w:spacing w:line="400" w:lineRule="exact"/>
              <w:ind w:right="80"/>
              <w:jc w:val="center"/>
              <w:rPr>
                <w:rFonts w:asciiTheme="minorEastAsia" w:hAnsiTheme="minorEastAsia"/>
                <w:color w:val="000000"/>
                <w:sz w:val="24"/>
                <w:szCs w:val="24"/>
              </w:rPr>
            </w:pPr>
            <w:r>
              <w:rPr>
                <w:rFonts w:hint="eastAsia" w:asciiTheme="minorEastAsia" w:hAnsiTheme="minorEastAsia"/>
                <w:color w:val="000000"/>
                <w:sz w:val="24"/>
                <w:szCs w:val="24"/>
              </w:rPr>
              <w:t>企业资质</w:t>
            </w:r>
          </w:p>
        </w:tc>
        <w:tc>
          <w:tcPr>
            <w:tcW w:w="1021" w:type="dxa"/>
            <w:tcBorders>
              <w:top w:val="single" w:color="000000" w:sz="4" w:space="0"/>
              <w:left w:val="single" w:color="auto" w:sz="4" w:space="0"/>
              <w:bottom w:val="single" w:color="000000" w:sz="4" w:space="0"/>
              <w:right w:val="single" w:color="auto" w:sz="4" w:space="0"/>
            </w:tcBorders>
            <w:shd w:val="clear" w:color="auto" w:fill="auto"/>
            <w:vAlign w:val="center"/>
          </w:tcPr>
          <w:p w14:paraId="3F2F76E2">
            <w:pPr>
              <w:wordWrap w:val="0"/>
              <w:autoSpaceDE w:val="0"/>
              <w:autoSpaceDN w:val="0"/>
              <w:spacing w:line="400" w:lineRule="exact"/>
              <w:ind w:right="80"/>
              <w:jc w:val="center"/>
              <w:rPr>
                <w:rFonts w:asciiTheme="minorEastAsia" w:hAnsiTheme="minorEastAsia"/>
                <w:color w:val="000000"/>
                <w:sz w:val="24"/>
                <w:szCs w:val="24"/>
              </w:rPr>
            </w:pPr>
            <w:r>
              <w:rPr>
                <w:rFonts w:hint="eastAsia" w:asciiTheme="minorEastAsia" w:hAnsiTheme="minorEastAsia"/>
                <w:color w:val="000000"/>
                <w:sz w:val="24"/>
                <w:szCs w:val="24"/>
              </w:rPr>
              <w:t>4分</w:t>
            </w:r>
          </w:p>
        </w:tc>
        <w:tc>
          <w:tcPr>
            <w:tcW w:w="6152" w:type="dxa"/>
            <w:tcBorders>
              <w:top w:val="single" w:color="000000" w:sz="4" w:space="0"/>
              <w:left w:val="single" w:color="auto" w:sz="4" w:space="0"/>
              <w:bottom w:val="single" w:color="000000" w:sz="4" w:space="0"/>
              <w:right w:val="single" w:color="auto" w:sz="4" w:space="0"/>
            </w:tcBorders>
            <w:shd w:val="clear" w:color="auto" w:fill="auto"/>
            <w:vAlign w:val="center"/>
          </w:tcPr>
          <w:p w14:paraId="222CFCCE">
            <w:pPr>
              <w:wordWrap w:val="0"/>
              <w:autoSpaceDE w:val="0"/>
              <w:autoSpaceDN w:val="0"/>
              <w:spacing w:line="380" w:lineRule="exact"/>
              <w:ind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体系认证（4分）：供应商具有职业健康安全管理体系认证证书、环境管理体系认证证书、隐私信息管理体系认证证书、信息安全管理体系认证证书等，且在有效期内，认证范围覆盖劳务派遣或相关人力资源服务领域，供应商每具有1项认证得1分，最高4分。</w:t>
            </w:r>
          </w:p>
          <w:p w14:paraId="04B636DE">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评审依据：提供证书复印件并加盖公章，未提供不得分。</w:t>
            </w:r>
          </w:p>
        </w:tc>
      </w:tr>
      <w:tr w14:paraId="081E94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27"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6462">
            <w:pPr>
              <w:wordWrap w:val="0"/>
              <w:autoSpaceDE w:val="0"/>
              <w:autoSpaceDN w:val="0"/>
              <w:spacing w:line="400" w:lineRule="exact"/>
              <w:ind w:right="80"/>
              <w:jc w:val="center"/>
              <w:rPr>
                <w:rFonts w:asciiTheme="minorEastAsia" w:hAnsiTheme="minorEastAsia"/>
                <w:color w:val="000000"/>
                <w:sz w:val="24"/>
                <w:szCs w:val="24"/>
              </w:rPr>
            </w:pPr>
            <w:r>
              <w:rPr>
                <w:rFonts w:hint="eastAsia" w:asciiTheme="minorEastAsia" w:hAnsiTheme="minorEastAsia"/>
                <w:color w:val="000000"/>
                <w:sz w:val="24"/>
                <w:szCs w:val="24"/>
              </w:rPr>
              <w:t>业绩情况</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0509">
            <w:pPr>
              <w:wordWrap w:val="0"/>
              <w:autoSpaceDE w:val="0"/>
              <w:autoSpaceDN w:val="0"/>
              <w:spacing w:line="400" w:lineRule="exact"/>
              <w:ind w:right="80"/>
              <w:jc w:val="center"/>
              <w:rPr>
                <w:rFonts w:asciiTheme="minorEastAsia" w:hAnsiTheme="minorEastAsia"/>
                <w:color w:val="000000"/>
                <w:sz w:val="24"/>
                <w:szCs w:val="24"/>
              </w:rPr>
            </w:pPr>
            <w:r>
              <w:rPr>
                <w:rFonts w:hint="eastAsia" w:asciiTheme="minorEastAsia" w:hAnsiTheme="minorEastAsia"/>
                <w:color w:val="000000"/>
                <w:sz w:val="24"/>
                <w:szCs w:val="24"/>
              </w:rPr>
              <w:t>6分</w:t>
            </w:r>
          </w:p>
        </w:tc>
        <w:tc>
          <w:tcPr>
            <w:tcW w:w="6152" w:type="dxa"/>
            <w:tcBorders>
              <w:top w:val="single" w:color="000000" w:sz="4" w:space="0"/>
              <w:left w:val="single" w:color="000000" w:sz="4" w:space="0"/>
              <w:bottom w:val="single" w:color="000000" w:sz="4" w:space="0"/>
              <w:right w:val="single" w:color="000000" w:sz="4" w:space="0"/>
            </w:tcBorders>
            <w:shd w:val="clear" w:color="auto" w:fill="auto"/>
          </w:tcPr>
          <w:p w14:paraId="536E5D12">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供应商自2023年1月1日至今，履约过劳务派遣服务项目，每家得1分，最高得6分。</w:t>
            </w:r>
          </w:p>
          <w:p w14:paraId="6EF8049F">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评审依据：提供业绩证明材料为合同关键页+履约验收证明，未提供或提供不全不得分。</w:t>
            </w:r>
          </w:p>
        </w:tc>
      </w:tr>
      <w:tr w14:paraId="479681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27"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7FFF">
            <w:pPr>
              <w:wordWrap w:val="0"/>
              <w:autoSpaceDE w:val="0"/>
              <w:autoSpaceDN w:val="0"/>
              <w:spacing w:line="400" w:lineRule="exact"/>
              <w:ind w:right="80"/>
              <w:jc w:val="center"/>
              <w:rPr>
                <w:rFonts w:asciiTheme="minorEastAsia" w:hAnsiTheme="minorEastAsia"/>
                <w:color w:val="000000"/>
                <w:sz w:val="24"/>
                <w:szCs w:val="24"/>
              </w:rPr>
            </w:pPr>
            <w:r>
              <w:rPr>
                <w:rFonts w:hint="eastAsia" w:asciiTheme="minorEastAsia" w:hAnsiTheme="minorEastAsia"/>
                <w:color w:val="000000"/>
                <w:sz w:val="24"/>
                <w:szCs w:val="24"/>
              </w:rPr>
              <w:t>增值服务</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2DE8">
            <w:pPr>
              <w:wordWrap w:val="0"/>
              <w:autoSpaceDE w:val="0"/>
              <w:autoSpaceDN w:val="0"/>
              <w:spacing w:line="400" w:lineRule="exact"/>
              <w:ind w:right="80"/>
              <w:jc w:val="center"/>
              <w:rPr>
                <w:rFonts w:asciiTheme="minorEastAsia" w:hAnsiTheme="minorEastAsia"/>
                <w:color w:val="000000"/>
                <w:sz w:val="24"/>
                <w:szCs w:val="24"/>
              </w:rPr>
            </w:pPr>
            <w:r>
              <w:rPr>
                <w:rFonts w:hint="eastAsia" w:asciiTheme="minorEastAsia" w:hAnsiTheme="minorEastAsia"/>
                <w:color w:val="000000"/>
                <w:sz w:val="24"/>
                <w:szCs w:val="24"/>
              </w:rPr>
              <w:t>6分</w:t>
            </w:r>
          </w:p>
        </w:tc>
        <w:tc>
          <w:tcPr>
            <w:tcW w:w="6152" w:type="dxa"/>
            <w:tcBorders>
              <w:top w:val="single" w:color="000000" w:sz="4" w:space="0"/>
              <w:left w:val="single" w:color="000000" w:sz="4" w:space="0"/>
              <w:bottom w:val="single" w:color="000000" w:sz="4" w:space="0"/>
              <w:right w:val="single" w:color="000000" w:sz="4" w:space="0"/>
            </w:tcBorders>
            <w:shd w:val="clear" w:color="auto" w:fill="auto"/>
          </w:tcPr>
          <w:p w14:paraId="621814B2">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1.供应商具备人事管理系统（含劳务派遣人员信息管理、考勤、薪酬核算功能），得3分；</w:t>
            </w:r>
          </w:p>
          <w:p w14:paraId="56F250D9">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2.供应商具有保密资质以支持本项目顺利进行，得2分。</w:t>
            </w:r>
          </w:p>
          <w:p w14:paraId="1A9DF2DD">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3.具有固定的培训场所，能满足举办人员培训需求得1分。</w:t>
            </w:r>
          </w:p>
          <w:p w14:paraId="153AB46F">
            <w:pPr>
              <w:wordWrap w:val="0"/>
              <w:autoSpaceDE w:val="0"/>
              <w:autoSpaceDN w:val="0"/>
              <w:spacing w:line="380" w:lineRule="exact"/>
              <w:ind w:left="60" w:right="120"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评审依据：提供人事档案管理系统面截图及使用证明（如采购合同或授权书）；提供保密相关资质证书，提供场地照片及承诺函佐证；上述资料加盖公章。</w:t>
            </w:r>
          </w:p>
        </w:tc>
      </w:tr>
    </w:tbl>
    <w:p w14:paraId="559A5B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F5782"/>
    <w:rsid w:val="79495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1413</Words>
  <Characters>1424</Characters>
  <Lines>0</Lines>
  <Paragraphs>0</Paragraphs>
  <TotalTime>0</TotalTime>
  <ScaleCrop>false</ScaleCrop>
  <LinksUpToDate>false</LinksUpToDate>
  <CharactersWithSpaces>1424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2026-02-12T01:50:00Z</dcterms:created>
  <dc:creator>Administrator</dc:creator>
  <cp:lastModifiedBy>xx</cp:lastModifiedBy>
  <dcterms:modified xsi:type="dcterms:W3CDTF">2026-02-12T01:57:02Z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eyJoZGlkIjoiNTljNDY4ZTRkMDljOTUyM2E3ZmUxODEwNTRkMmRhYmMiLCJ1c2VySWQiOiI5NTA3MzU1NjIifQ==</vt:lpwstr>
  </property>
  <property fmtid="{D5CDD505-2E9C-101B-9397-08002B2CF9AE}" pid="4" name="ICV">
    <vt:lpwstr>FE3CAD2905EB4830BAD67BFC3525786C_12</vt:lpwstr>
  </property>
</Properties>
</file>