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E011C7">
      <w:pPr>
        <w:pStyle w:val="4"/>
        <w:jc w:val="center"/>
      </w:pPr>
      <w:r>
        <w:rPr>
          <w:rFonts w:hint="eastAsia"/>
        </w:rPr>
        <w:t>液相色谱串联质谱联用仪市场调研需求</w:t>
      </w:r>
    </w:p>
    <w:p w14:paraId="2FE4CEA7">
      <w:pPr>
        <w:pStyle w:val="4"/>
        <w:spacing w:line="500" w:lineRule="atLeast"/>
        <w:rPr>
          <w:sz w:val="24"/>
          <w:szCs w:val="21"/>
        </w:rPr>
      </w:pPr>
      <w:r>
        <w:rPr>
          <w:rFonts w:hint="eastAsia"/>
          <w:sz w:val="24"/>
          <w:szCs w:val="21"/>
        </w:rPr>
        <w:t>一、功能需求</w:t>
      </w:r>
    </w:p>
    <w:p w14:paraId="6461824E">
      <w:pPr>
        <w:numPr>
          <w:ilvl w:val="0"/>
          <w:numId w:val="1"/>
        </w:numPr>
        <w:spacing w:line="500" w:lineRule="atLeast"/>
        <w:rPr>
          <w:rFonts w:hAnsi="Arial"/>
          <w:sz w:val="24"/>
        </w:rPr>
      </w:pPr>
      <w:r>
        <w:rPr>
          <w:rFonts w:hint="eastAsia" w:hAnsi="Arial"/>
          <w:sz w:val="24"/>
        </w:rPr>
        <w:t>检测需求：可开展脂溶性维生素（ADEK），维生素D，类固醇激素（至少含五项类固醇激素检测），儿茶酚胺，药物浓度监测等，可提供二类注册证和说明书等佐证材料；</w:t>
      </w:r>
    </w:p>
    <w:p w14:paraId="429221EB">
      <w:pPr>
        <w:numPr>
          <w:ilvl w:val="0"/>
          <w:numId w:val="1"/>
        </w:numPr>
        <w:spacing w:line="500" w:lineRule="atLeast"/>
        <w:rPr>
          <w:rFonts w:hint="eastAsia" w:hAnsi="Arial"/>
          <w:sz w:val="24"/>
        </w:rPr>
      </w:pPr>
      <w:r>
        <w:rPr>
          <w:rFonts w:hint="eastAsia" w:hAnsi="Arial"/>
          <w:sz w:val="24"/>
        </w:rPr>
        <w:t>设备组成：由三重四极杆质谱仪、高效液相色谱仪、色谱柱和相关软件等整套服务设备设施，其中质谱仪、色谱仪需具备医疗器械资质。（提供医疗器械注册证附件证明）</w:t>
      </w:r>
    </w:p>
    <w:p w14:paraId="560E6AC9">
      <w:pPr>
        <w:numPr>
          <w:ilvl w:val="0"/>
          <w:numId w:val="1"/>
        </w:numPr>
        <w:spacing w:line="500" w:lineRule="atLeast"/>
        <w:rPr>
          <w:color w:val="000000" w:themeColor="text1"/>
          <w:sz w:val="24"/>
          <w14:textFill>
            <w14:solidFill>
              <w14:schemeClr w14:val="tx1"/>
            </w14:solidFill>
          </w14:textFill>
        </w:rPr>
      </w:pPr>
      <w:r>
        <w:rPr>
          <w:rFonts w:hint="eastAsia" w:hAnsi="Arial"/>
          <w:color w:val="000000" w:themeColor="text1"/>
          <w:sz w:val="24"/>
          <w14:textFill>
            <w14:solidFill>
              <w14:schemeClr w14:val="tx1"/>
            </w14:solidFill>
          </w14:textFill>
        </w:rPr>
        <w:t>检测要求：可用于</w:t>
      </w:r>
      <w:r>
        <w:rPr>
          <w:color w:val="000000" w:themeColor="text1"/>
          <w:sz w:val="24"/>
          <w14:textFill>
            <w14:solidFill>
              <w14:schemeClr w14:val="tx1"/>
            </w14:solidFill>
          </w14:textFill>
        </w:rPr>
        <w:t>人体血液样本中的无机或有机化合物进行定性或定量检测，包</w:t>
      </w:r>
      <w:r>
        <w:rPr>
          <w:rFonts w:hint="eastAsia"/>
          <w:color w:val="000000" w:themeColor="text1"/>
          <w:sz w:val="24"/>
          <w14:textFill>
            <w14:solidFill>
              <w14:schemeClr w14:val="tx1"/>
            </w14:solidFill>
          </w14:textFill>
        </w:rPr>
        <w:t>含有</w:t>
      </w:r>
      <w:r>
        <w:rPr>
          <w:color w:val="000000" w:themeColor="text1"/>
          <w:sz w:val="24"/>
          <w14:textFill>
            <w14:solidFill>
              <w14:schemeClr w14:val="tx1"/>
            </w14:solidFill>
          </w14:textFill>
        </w:rPr>
        <w:t>诊断指示物（内源性物质：氨基酸、维生素、激素）和治疗监控化合物（外源性物质：治疗/毒性药物）</w:t>
      </w:r>
      <w:r>
        <w:rPr>
          <w:rFonts w:hint="eastAsia"/>
          <w:color w:val="000000" w:themeColor="text1"/>
          <w:sz w:val="24"/>
          <w14:textFill>
            <w14:solidFill>
              <w14:schemeClr w14:val="tx1"/>
            </w14:solidFill>
          </w14:textFill>
        </w:rPr>
        <w:t>，并提供佐证材料。（提供医疗器械注册证附件证明）</w:t>
      </w:r>
    </w:p>
    <w:p w14:paraId="1255EE85">
      <w:pPr>
        <w:numPr>
          <w:ilvl w:val="0"/>
          <w:numId w:val="1"/>
        </w:numPr>
        <w:spacing w:line="500" w:lineRule="atLeast"/>
        <w:rPr>
          <w:rFonts w:hAnsi="Arial"/>
          <w:color w:val="000000" w:themeColor="text1"/>
          <w:sz w:val="24"/>
          <w14:textFill>
            <w14:solidFill>
              <w14:schemeClr w14:val="tx1"/>
            </w14:solidFill>
          </w14:textFill>
        </w:rPr>
      </w:pPr>
      <w:r>
        <w:rPr>
          <w:rFonts w:hAnsi="Arial"/>
          <w:color w:val="000000" w:themeColor="text1"/>
          <w:sz w:val="24"/>
          <w14:textFill>
            <w14:solidFill>
              <w14:schemeClr w14:val="tx1"/>
            </w14:solidFill>
          </w14:textFill>
        </w:rPr>
        <w:t>气体需求：</w:t>
      </w:r>
      <w:r>
        <w:rPr>
          <w:rFonts w:hint="eastAsia"/>
          <w:color w:val="000000" w:themeColor="text1"/>
          <w:sz w:val="24"/>
          <w14:textFill>
            <w14:solidFill>
              <w14:schemeClr w14:val="tx1"/>
            </w14:solidFill>
          </w14:textFill>
        </w:rPr>
        <w:t>雾化气</w:t>
      </w:r>
      <w:r>
        <w:rPr>
          <w:color w:val="000000" w:themeColor="text1"/>
          <w:sz w:val="24"/>
          <w14:textFill>
            <w14:solidFill>
              <w14:schemeClr w14:val="tx1"/>
            </w14:solidFill>
          </w14:textFill>
        </w:rPr>
        <w:t>N</w:t>
      </w:r>
      <w:r>
        <w:rPr>
          <w:color w:val="000000" w:themeColor="text1"/>
          <w:sz w:val="24"/>
          <w:vertAlign w:val="subscript"/>
          <w14:textFill>
            <w14:solidFill>
              <w14:schemeClr w14:val="tx1"/>
            </w14:solidFill>
          </w14:textFill>
        </w:rPr>
        <w:t>2</w:t>
      </w:r>
      <w:r>
        <w:rPr>
          <w:rFonts w:hint="eastAsia"/>
          <w:color w:val="000000" w:themeColor="text1"/>
          <w:sz w:val="24"/>
          <w:vertAlign w:val="subscript"/>
          <w14:textFill>
            <w14:solidFill>
              <w14:schemeClr w14:val="tx1"/>
            </w14:solidFill>
          </w14:textFill>
        </w:rPr>
        <w:t>，</w:t>
      </w:r>
      <w:r>
        <w:rPr>
          <w:rFonts w:hAnsi="Arial"/>
          <w:color w:val="000000" w:themeColor="text1"/>
          <w:sz w:val="24"/>
          <w14:textFill>
            <w14:solidFill>
              <w14:schemeClr w14:val="tx1"/>
            </w14:solidFill>
          </w14:textFill>
        </w:rPr>
        <w:t>纯（</w:t>
      </w:r>
      <w:r>
        <w:rPr>
          <w:color w:val="000000" w:themeColor="text1"/>
          <w:sz w:val="24"/>
          <w14:textFill>
            <w14:solidFill>
              <w14:schemeClr w14:val="tx1"/>
            </w14:solidFill>
          </w14:textFill>
        </w:rPr>
        <w:t>99%</w:t>
      </w:r>
      <w:r>
        <w:rPr>
          <w:rFonts w:hAnsi="Arial"/>
          <w:color w:val="000000" w:themeColor="text1"/>
          <w:sz w:val="24"/>
          <w14:textFill>
            <w14:solidFill>
              <w14:schemeClr w14:val="tx1"/>
            </w14:solidFill>
          </w14:textFill>
        </w:rPr>
        <w:t>纯度）</w:t>
      </w:r>
      <w:r>
        <w:rPr>
          <w:color w:val="000000" w:themeColor="text1"/>
          <w:sz w:val="24"/>
          <w14:textFill>
            <w14:solidFill>
              <w14:schemeClr w14:val="tx1"/>
            </w14:solidFill>
          </w14:textFill>
        </w:rPr>
        <w:t>N</w:t>
      </w:r>
      <w:r>
        <w:rPr>
          <w:color w:val="000000" w:themeColor="text1"/>
          <w:sz w:val="24"/>
          <w:vertAlign w:val="subscript"/>
          <w14:textFill>
            <w14:solidFill>
              <w14:schemeClr w14:val="tx1"/>
            </w14:solidFill>
          </w14:textFill>
        </w:rPr>
        <w:t>2</w:t>
      </w:r>
      <w:r>
        <w:rPr>
          <w:rFonts w:hAnsi="Arial"/>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碰撞气</w:t>
      </w:r>
      <w:r>
        <w:rPr>
          <w:rFonts w:hAnsi="Arial"/>
          <w:color w:val="000000" w:themeColor="text1"/>
          <w:sz w:val="24"/>
          <w14:textFill>
            <w14:solidFill>
              <w14:schemeClr w14:val="tx1"/>
            </w14:solidFill>
          </w14:textFill>
        </w:rPr>
        <w:t>：超高</w:t>
      </w:r>
      <w:r>
        <w:rPr>
          <w:rFonts w:hAnsi="Arial"/>
          <w:sz w:val="24"/>
        </w:rPr>
        <w:t>纯</w:t>
      </w:r>
      <w:r>
        <w:rPr>
          <w:sz w:val="24"/>
        </w:rPr>
        <w:t>Ar</w:t>
      </w:r>
      <w:r>
        <w:rPr>
          <w:rFonts w:hint="eastAsia"/>
          <w:sz w:val="24"/>
        </w:rPr>
        <w:t>或</w:t>
      </w:r>
      <w:r>
        <w:rPr>
          <w:sz w:val="24"/>
        </w:rPr>
        <w:t>N</w:t>
      </w:r>
      <w:r>
        <w:rPr>
          <w:color w:val="000000" w:themeColor="text1"/>
          <w:sz w:val="24"/>
          <w:vertAlign w:val="subscript"/>
          <w14:textFill>
            <w14:solidFill>
              <w14:schemeClr w14:val="tx1"/>
            </w14:solidFill>
          </w14:textFill>
        </w:rPr>
        <w:t>2</w:t>
      </w:r>
      <w:r>
        <w:rPr>
          <w:rFonts w:hAnsi="Arial"/>
          <w:color w:val="000000" w:themeColor="text1"/>
          <w:sz w:val="24"/>
          <w14:textFill>
            <w14:solidFill>
              <w14:schemeClr w14:val="tx1"/>
            </w14:solidFill>
          </w14:textFill>
        </w:rPr>
        <w:t>（</w:t>
      </w:r>
      <w:r>
        <w:rPr>
          <w:color w:val="000000" w:themeColor="text1"/>
          <w:sz w:val="24"/>
          <w14:textFill>
            <w14:solidFill>
              <w14:schemeClr w14:val="tx1"/>
            </w14:solidFill>
          </w14:textFill>
        </w:rPr>
        <w:t>99.999%</w:t>
      </w:r>
      <w:r>
        <w:rPr>
          <w:rFonts w:hAnsi="Arial"/>
          <w:color w:val="000000" w:themeColor="text1"/>
          <w:sz w:val="24"/>
          <w14:textFill>
            <w14:solidFill>
              <w14:schemeClr w14:val="tx1"/>
            </w14:solidFill>
          </w14:textFill>
        </w:rPr>
        <w:t>）</w:t>
      </w:r>
      <w:r>
        <w:rPr>
          <w:rFonts w:hint="eastAsia" w:hAnsi="Arial"/>
          <w:color w:val="000000" w:themeColor="text1"/>
          <w:sz w:val="24"/>
          <w14:textFill>
            <w14:solidFill>
              <w14:schemeClr w14:val="tx1"/>
            </w14:solidFill>
          </w14:textFill>
        </w:rPr>
        <w:t>，源区无需额外空气压缩机。</w:t>
      </w:r>
    </w:p>
    <w:p w14:paraId="3484579B">
      <w:pPr>
        <w:pStyle w:val="4"/>
        <w:spacing w:line="500" w:lineRule="atLeast"/>
        <w:rPr>
          <w:sz w:val="24"/>
          <w:szCs w:val="21"/>
        </w:rPr>
      </w:pPr>
      <w:r>
        <w:rPr>
          <w:rFonts w:hint="eastAsia"/>
          <w:sz w:val="24"/>
          <w:szCs w:val="21"/>
        </w:rPr>
        <w:t>二、质谱部分性能要求</w:t>
      </w:r>
    </w:p>
    <w:p w14:paraId="7FE83867">
      <w:pPr>
        <w:numPr>
          <w:ilvl w:val="0"/>
          <w:numId w:val="1"/>
        </w:numPr>
        <w:spacing w:line="500" w:lineRule="atLeas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配置</w:t>
      </w:r>
      <w:r>
        <w:rPr>
          <w:color w:val="000000" w:themeColor="text1"/>
          <w:sz w:val="24"/>
          <w14:textFill>
            <w14:solidFill>
              <w14:schemeClr w14:val="tx1"/>
            </w14:solidFill>
          </w14:textFill>
        </w:rPr>
        <w:t>ESI离子</w:t>
      </w:r>
      <w:r>
        <w:rPr>
          <w:rFonts w:hint="eastAsia"/>
          <w:color w:val="000000" w:themeColor="text1"/>
          <w:sz w:val="24"/>
          <w14:textFill>
            <w14:solidFill>
              <w14:schemeClr w14:val="tx1"/>
            </w14:solidFill>
          </w14:textFill>
        </w:rPr>
        <w:t>源</w:t>
      </w:r>
      <w:r>
        <w:rPr>
          <w:color w:val="000000" w:themeColor="text1"/>
          <w:sz w:val="24"/>
          <w14:textFill>
            <w14:solidFill>
              <w14:schemeClr w14:val="tx1"/>
            </w14:solidFill>
          </w14:textFill>
        </w:rPr>
        <w:t>与APCI离子</w:t>
      </w:r>
      <w:r>
        <w:rPr>
          <w:rFonts w:hint="eastAsia"/>
          <w:color w:val="000000" w:themeColor="text1"/>
          <w:sz w:val="24"/>
          <w14:textFill>
            <w14:solidFill>
              <w14:schemeClr w14:val="tx1"/>
            </w14:solidFill>
          </w14:textFill>
        </w:rPr>
        <w:t>源</w:t>
      </w:r>
      <w:r>
        <w:rPr>
          <w:color w:val="000000" w:themeColor="text1"/>
          <w:sz w:val="24"/>
          <w14:textFill>
            <w14:solidFill>
              <w14:schemeClr w14:val="tx1"/>
            </w14:solidFill>
          </w14:textFill>
        </w:rPr>
        <w:t>；</w:t>
      </w:r>
    </w:p>
    <w:p w14:paraId="640017E9">
      <w:pPr>
        <w:numPr>
          <w:ilvl w:val="0"/>
          <w:numId w:val="1"/>
        </w:numPr>
        <w:spacing w:line="500" w:lineRule="atLeast"/>
        <w:rPr>
          <w:color w:val="000000" w:themeColor="text1"/>
          <w:sz w:val="24"/>
          <w14:textFill>
            <w14:solidFill>
              <w14:schemeClr w14:val="tx1"/>
            </w14:solidFill>
          </w14:textFill>
        </w:rPr>
      </w:pPr>
      <w:r>
        <w:rPr>
          <w:color w:val="000000" w:themeColor="text1"/>
          <w:sz w:val="24"/>
          <w14:textFill>
            <w14:solidFill>
              <w14:schemeClr w14:val="tx1"/>
            </w14:solidFill>
          </w14:textFill>
        </w:rPr>
        <w:t>具有真空隔断阀设计，</w:t>
      </w:r>
      <w:r>
        <w:rPr>
          <w:rFonts w:hint="eastAsia"/>
          <w:color w:val="000000" w:themeColor="text1"/>
          <w:sz w:val="24"/>
          <w14:textFill>
            <w14:solidFill>
              <w14:schemeClr w14:val="tx1"/>
            </w14:solidFill>
          </w14:textFill>
        </w:rPr>
        <w:t>便于</w:t>
      </w:r>
      <w:r>
        <w:rPr>
          <w:color w:val="000000" w:themeColor="text1"/>
          <w:sz w:val="24"/>
          <w14:textFill>
            <w14:solidFill>
              <w14:schemeClr w14:val="tx1"/>
            </w14:solidFill>
          </w14:textFill>
        </w:rPr>
        <w:t>待机</w:t>
      </w:r>
      <w:r>
        <w:rPr>
          <w:rFonts w:hint="eastAsia"/>
          <w:color w:val="000000" w:themeColor="text1"/>
          <w:sz w:val="24"/>
          <w14:textFill>
            <w14:solidFill>
              <w14:schemeClr w14:val="tx1"/>
            </w14:solidFill>
          </w14:textFill>
        </w:rPr>
        <w:t>或维护</w:t>
      </w:r>
      <w:r>
        <w:rPr>
          <w:color w:val="000000" w:themeColor="text1"/>
          <w:sz w:val="24"/>
          <w14:textFill>
            <w14:solidFill>
              <w14:schemeClr w14:val="tx1"/>
            </w14:solidFill>
          </w14:textFill>
        </w:rPr>
        <w:t>时不需要消耗氮气</w:t>
      </w:r>
      <w:r>
        <w:rPr>
          <w:rFonts w:hint="eastAsia"/>
          <w:color w:val="000000" w:themeColor="text1"/>
          <w:sz w:val="24"/>
          <w14:textFill>
            <w14:solidFill>
              <w14:schemeClr w14:val="tx1"/>
            </w14:solidFill>
          </w14:textFill>
        </w:rPr>
        <w:t>，避免真空损伤</w:t>
      </w:r>
      <w:r>
        <w:rPr>
          <w:color w:val="000000" w:themeColor="text1"/>
          <w:sz w:val="24"/>
          <w14:textFill>
            <w14:solidFill>
              <w14:schemeClr w14:val="tx1"/>
            </w14:solidFill>
          </w14:textFill>
        </w:rPr>
        <w:t>；</w:t>
      </w:r>
    </w:p>
    <w:p w14:paraId="14877392">
      <w:pPr>
        <w:numPr>
          <w:ilvl w:val="0"/>
          <w:numId w:val="1"/>
        </w:numPr>
        <w:spacing w:line="500" w:lineRule="atLeas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具有较宽的</w:t>
      </w:r>
      <w:r>
        <w:rPr>
          <w:color w:val="000000" w:themeColor="text1"/>
          <w:sz w:val="24"/>
          <w14:textFill>
            <w14:solidFill>
              <w14:schemeClr w14:val="tx1"/>
            </w14:solidFill>
          </w14:textFill>
        </w:rPr>
        <w:t>质量数范围：</w:t>
      </w:r>
      <w:r>
        <w:rPr>
          <w:rFonts w:hint="eastAsia"/>
          <w:color w:val="000000" w:themeColor="text1"/>
          <w:sz w:val="24"/>
          <w14:textFill>
            <w14:solidFill>
              <w14:schemeClr w14:val="tx1"/>
            </w14:solidFill>
          </w14:textFill>
        </w:rPr>
        <w:t>50 --1500Da</w:t>
      </w:r>
      <w:r>
        <w:rPr>
          <w:color w:val="000000" w:themeColor="text1"/>
          <w:sz w:val="24"/>
          <w14:textFill>
            <w14:solidFill>
              <w14:schemeClr w14:val="tx1"/>
            </w14:solidFill>
          </w14:textFill>
        </w:rPr>
        <w:t>，Q1和Q3均可以达到；</w:t>
      </w:r>
    </w:p>
    <w:p w14:paraId="6CC2637F">
      <w:pPr>
        <w:numPr>
          <w:ilvl w:val="0"/>
          <w:numId w:val="1"/>
        </w:numPr>
        <w:spacing w:line="500" w:lineRule="atLeast"/>
        <w:rPr>
          <w:sz w:val="24"/>
        </w:rPr>
      </w:pPr>
      <w:r>
        <w:rPr>
          <w:rFonts w:hint="eastAsia"/>
          <w:color w:val="000000" w:themeColor="text1"/>
          <w:sz w:val="24"/>
          <w14:textFill>
            <w14:solidFill>
              <w14:schemeClr w14:val="tx1"/>
            </w14:solidFill>
          </w14:textFill>
        </w:rPr>
        <w:t>采用1ppb</w:t>
      </w:r>
      <w:r>
        <w:rPr>
          <w:color w:val="000000" w:themeColor="text1"/>
          <w:sz w:val="24"/>
          <w14:textFill>
            <w14:solidFill>
              <w14:schemeClr w14:val="tx1"/>
            </w14:solidFill>
          </w14:textFill>
        </w:rPr>
        <w:t>去甲基地西泮</w:t>
      </w:r>
      <w:r>
        <w:rPr>
          <w:rFonts w:hint="eastAsia"/>
          <w:color w:val="000000" w:themeColor="text1"/>
          <w:sz w:val="24"/>
          <w14:textFill>
            <w14:solidFill>
              <w14:schemeClr w14:val="tx1"/>
            </w14:solidFill>
          </w14:textFill>
        </w:rPr>
        <w:t>作为标准物质，要求出</w:t>
      </w:r>
      <w:r>
        <w:rPr>
          <w:rFonts w:hint="eastAsia" w:ascii="Calibri" w:hAnsi="Calibri"/>
          <w:sz w:val="24"/>
        </w:rPr>
        <w:t>示</w:t>
      </w:r>
      <w:r>
        <w:rPr>
          <w:rFonts w:hint="eastAsia"/>
          <w:sz w:val="24"/>
        </w:rPr>
        <w:t>1ppb</w:t>
      </w:r>
      <w:r>
        <w:rPr>
          <w:sz w:val="24"/>
        </w:rPr>
        <w:t>去甲基地西泮</w:t>
      </w:r>
      <w:r>
        <w:rPr>
          <w:rFonts w:hint="eastAsia" w:ascii="Calibri" w:hAnsi="Calibri"/>
          <w:sz w:val="24"/>
        </w:rPr>
        <w:t>在10、20、50、100、500SRMs/</w:t>
      </w:r>
      <w:r>
        <w:rPr>
          <w:rFonts w:hint="eastAsia"/>
          <w:sz w:val="24"/>
        </w:rPr>
        <w:t>s</w:t>
      </w:r>
      <w:r>
        <w:rPr>
          <w:rFonts w:hint="eastAsia" w:ascii="Calibri" w:hAnsi="Calibri"/>
          <w:sz w:val="24"/>
        </w:rPr>
        <w:t>时对应的响应峰面积的图谱，要求5个采集速率的峰面积数据的偏差≤10%，</w:t>
      </w:r>
      <w:r>
        <w:rPr>
          <w:rFonts w:hint="eastAsia"/>
          <w:sz w:val="24"/>
        </w:rPr>
        <w:t>提供数据证明</w:t>
      </w:r>
      <w:r>
        <w:rPr>
          <w:rFonts w:hint="eastAsia" w:ascii="Calibri" w:hAnsi="Calibri"/>
          <w:sz w:val="24"/>
        </w:rPr>
        <w:t>，以佐证仪器在处理多残留监测</w:t>
      </w:r>
      <w:r>
        <w:rPr>
          <w:rFonts w:hint="eastAsia"/>
          <w:sz w:val="24"/>
        </w:rPr>
        <w:t>时，</w:t>
      </w:r>
      <w:r>
        <w:rPr>
          <w:rFonts w:hint="eastAsia" w:ascii="Calibri" w:hAnsi="Calibri"/>
          <w:sz w:val="24"/>
        </w:rPr>
        <w:t>仪器灵敏度不损失的先进性；</w:t>
      </w:r>
    </w:p>
    <w:p w14:paraId="6641E817">
      <w:pPr>
        <w:numPr>
          <w:ilvl w:val="0"/>
          <w:numId w:val="2"/>
        </w:numPr>
        <w:spacing w:line="500" w:lineRule="atLeast"/>
        <w:rPr>
          <w:sz w:val="24"/>
        </w:rPr>
      </w:pPr>
      <w:r>
        <w:rPr>
          <w:sz w:val="24"/>
        </w:rPr>
        <w:t>MS/MS</w:t>
      </w:r>
      <w:r>
        <w:rPr>
          <w:rFonts w:hint="eastAsia" w:hAnsi="Arial"/>
          <w:sz w:val="24"/>
        </w:rPr>
        <w:t>灵敏度</w:t>
      </w:r>
    </w:p>
    <w:p w14:paraId="0D70F696">
      <w:pPr>
        <w:spacing w:line="500" w:lineRule="atLeast"/>
        <w:rPr>
          <w:sz w:val="24"/>
        </w:rPr>
      </w:pPr>
      <w:r>
        <w:rPr>
          <w:sz w:val="24"/>
        </w:rPr>
        <w:t>ESI+</w:t>
      </w:r>
      <w:r>
        <w:rPr>
          <w:rFonts w:hint="eastAsia"/>
          <w:sz w:val="24"/>
        </w:rPr>
        <w:t>：</w:t>
      </w:r>
      <w:r>
        <w:rPr>
          <w:sz w:val="24"/>
        </w:rPr>
        <w:t>1pg</w:t>
      </w:r>
      <w:r>
        <w:rPr>
          <w:rFonts w:hint="eastAsia" w:hAnsi="Arial"/>
          <w:sz w:val="24"/>
        </w:rPr>
        <w:t>利血平，</w:t>
      </w:r>
      <w:r>
        <w:rPr>
          <w:sz w:val="24"/>
          <w:lang w:val="de-DE"/>
        </w:rPr>
        <w:t>m/z609&gt;195</w:t>
      </w:r>
      <w:r>
        <w:rPr>
          <w:rFonts w:hint="eastAsia" w:hAnsi="Arial"/>
          <w:sz w:val="24"/>
          <w:lang w:val="de-DE"/>
        </w:rPr>
        <w:t>，</w:t>
      </w:r>
      <w:r>
        <w:rPr>
          <w:rFonts w:hint="eastAsia" w:hAnsi="Arial"/>
          <w:sz w:val="24"/>
        </w:rPr>
        <w:t>信噪比</w:t>
      </w:r>
      <w:r>
        <w:rPr>
          <w:rFonts w:hint="eastAsia"/>
          <w:sz w:val="24"/>
        </w:rPr>
        <w:t>≥</w:t>
      </w:r>
      <w:r>
        <w:rPr>
          <w:sz w:val="24"/>
        </w:rPr>
        <w:t>80,000</w:t>
      </w:r>
      <w:r>
        <w:rPr>
          <w:rFonts w:hint="eastAsia" w:hAnsi="Arial"/>
          <w:sz w:val="24"/>
        </w:rPr>
        <w:t>：</w:t>
      </w:r>
      <w:r>
        <w:rPr>
          <w:sz w:val="24"/>
        </w:rPr>
        <w:t>1</w:t>
      </w:r>
      <w:r>
        <w:rPr>
          <w:rFonts w:hint="eastAsia"/>
          <w:sz w:val="24"/>
        </w:rPr>
        <w:t>，</w:t>
      </w:r>
      <w:r>
        <w:rPr>
          <w:rStyle w:val="15"/>
          <w:sz w:val="24"/>
          <w:shd w:val="clear" w:color="auto" w:fill="FFFFFF"/>
        </w:rPr>
        <w:t>RSD</w:t>
      </w:r>
      <w:r>
        <w:rPr>
          <w:rFonts w:hint="eastAsia"/>
          <w:sz w:val="24"/>
        </w:rPr>
        <w:t>≤</w:t>
      </w:r>
      <w:r>
        <w:rPr>
          <w:sz w:val="24"/>
        </w:rPr>
        <w:t>5%</w:t>
      </w:r>
    </w:p>
    <w:p w14:paraId="71296C0F">
      <w:pPr>
        <w:spacing w:line="500" w:lineRule="atLeast"/>
        <w:rPr>
          <w:sz w:val="24"/>
        </w:rPr>
      </w:pPr>
      <w:r>
        <w:rPr>
          <w:sz w:val="24"/>
        </w:rPr>
        <w:t>ESI-</w:t>
      </w:r>
      <w:r>
        <w:rPr>
          <w:rFonts w:hint="eastAsia"/>
          <w:sz w:val="24"/>
        </w:rPr>
        <w:t>：</w:t>
      </w:r>
      <w:r>
        <w:rPr>
          <w:sz w:val="24"/>
        </w:rPr>
        <w:t>1pg</w:t>
      </w:r>
      <w:r>
        <w:rPr>
          <w:rFonts w:hint="eastAsia" w:hAnsi="Arial"/>
          <w:sz w:val="24"/>
        </w:rPr>
        <w:t>氯霉素，</w:t>
      </w:r>
      <w:r>
        <w:rPr>
          <w:sz w:val="24"/>
          <w:lang w:val="de-DE"/>
        </w:rPr>
        <w:t>m/z321&gt;152</w:t>
      </w:r>
      <w:r>
        <w:rPr>
          <w:rFonts w:hint="eastAsia" w:hAnsi="Arial"/>
          <w:sz w:val="24"/>
          <w:lang w:val="de-DE"/>
        </w:rPr>
        <w:t>，</w:t>
      </w:r>
      <w:r>
        <w:rPr>
          <w:rFonts w:hint="eastAsia" w:hAnsi="Arial"/>
          <w:sz w:val="24"/>
        </w:rPr>
        <w:t>信噪比</w:t>
      </w:r>
      <w:r>
        <w:rPr>
          <w:rFonts w:hint="eastAsia"/>
          <w:sz w:val="24"/>
        </w:rPr>
        <w:t>≥</w:t>
      </w:r>
      <w:r>
        <w:rPr>
          <w:sz w:val="24"/>
        </w:rPr>
        <w:t>80,000</w:t>
      </w:r>
      <w:r>
        <w:rPr>
          <w:rFonts w:hint="eastAsia" w:hAnsi="Arial"/>
          <w:sz w:val="24"/>
        </w:rPr>
        <w:t>：</w:t>
      </w:r>
      <w:r>
        <w:rPr>
          <w:sz w:val="24"/>
        </w:rPr>
        <w:t>1</w:t>
      </w:r>
      <w:r>
        <w:rPr>
          <w:rFonts w:hint="eastAsia"/>
          <w:sz w:val="24"/>
        </w:rPr>
        <w:t>，</w:t>
      </w:r>
      <w:r>
        <w:rPr>
          <w:rStyle w:val="15"/>
          <w:sz w:val="24"/>
          <w:shd w:val="clear" w:color="auto" w:fill="FFFFFF"/>
        </w:rPr>
        <w:t>RSD</w:t>
      </w:r>
      <w:r>
        <w:rPr>
          <w:rFonts w:hint="eastAsia"/>
          <w:sz w:val="24"/>
        </w:rPr>
        <w:t>≤</w:t>
      </w:r>
      <w:r>
        <w:rPr>
          <w:sz w:val="24"/>
        </w:rPr>
        <w:t>5%</w:t>
      </w:r>
    </w:p>
    <w:p w14:paraId="267B4827">
      <w:pPr>
        <w:spacing w:line="500" w:lineRule="atLeast"/>
        <w:rPr>
          <w:sz w:val="24"/>
        </w:rPr>
      </w:pPr>
      <w:r>
        <w:rPr>
          <w:sz w:val="24"/>
        </w:rPr>
        <w:t>APCI</w:t>
      </w:r>
      <w:r>
        <w:rPr>
          <w:rFonts w:hint="eastAsia"/>
          <w:sz w:val="24"/>
        </w:rPr>
        <w:t>：</w:t>
      </w:r>
      <w:r>
        <w:rPr>
          <w:sz w:val="24"/>
        </w:rPr>
        <w:t>1pg</w:t>
      </w:r>
      <w:r>
        <w:rPr>
          <w:rFonts w:hint="eastAsia" w:hAnsi="Arial"/>
          <w:sz w:val="24"/>
        </w:rPr>
        <w:t>利血平，</w:t>
      </w:r>
      <w:r>
        <w:rPr>
          <w:sz w:val="24"/>
          <w:lang w:val="de-DE"/>
        </w:rPr>
        <w:t>m/z609&gt;195</w:t>
      </w:r>
      <w:r>
        <w:rPr>
          <w:rFonts w:hint="eastAsia" w:hAnsi="Arial"/>
          <w:sz w:val="24"/>
          <w:lang w:val="de-DE"/>
        </w:rPr>
        <w:t>，</w:t>
      </w:r>
      <w:r>
        <w:rPr>
          <w:rFonts w:hint="eastAsia" w:hAnsi="Arial"/>
          <w:sz w:val="24"/>
        </w:rPr>
        <w:t>信噪比</w:t>
      </w:r>
      <w:r>
        <w:rPr>
          <w:rFonts w:hint="eastAsia"/>
          <w:sz w:val="24"/>
        </w:rPr>
        <w:t>≥</w:t>
      </w:r>
      <w:r>
        <w:rPr>
          <w:sz w:val="24"/>
        </w:rPr>
        <w:t>25,000</w:t>
      </w:r>
      <w:r>
        <w:rPr>
          <w:rFonts w:hint="eastAsia" w:hAnsi="Arial"/>
          <w:sz w:val="24"/>
        </w:rPr>
        <w:t>：</w:t>
      </w:r>
      <w:r>
        <w:rPr>
          <w:rFonts w:hAnsi="Arial"/>
          <w:sz w:val="24"/>
        </w:rPr>
        <w:t>1</w:t>
      </w:r>
      <w:r>
        <w:rPr>
          <w:rFonts w:hint="eastAsia" w:hAnsi="Arial"/>
          <w:sz w:val="24"/>
        </w:rPr>
        <w:t>，</w:t>
      </w:r>
      <w:r>
        <w:rPr>
          <w:rStyle w:val="15"/>
          <w:sz w:val="24"/>
          <w:shd w:val="clear" w:color="auto" w:fill="FFFFFF"/>
        </w:rPr>
        <w:t>RSD</w:t>
      </w:r>
      <w:r>
        <w:rPr>
          <w:rFonts w:hint="eastAsia"/>
          <w:sz w:val="24"/>
        </w:rPr>
        <w:t>≤</w:t>
      </w:r>
      <w:r>
        <w:rPr>
          <w:sz w:val="24"/>
        </w:rPr>
        <w:t>5%</w:t>
      </w:r>
    </w:p>
    <w:p w14:paraId="10AF6036">
      <w:pPr>
        <w:pStyle w:val="4"/>
        <w:spacing w:line="500" w:lineRule="atLeast"/>
        <w:rPr>
          <w:sz w:val="24"/>
          <w:szCs w:val="21"/>
        </w:rPr>
      </w:pPr>
      <w:r>
        <w:rPr>
          <w:rFonts w:hint="eastAsia"/>
          <w:sz w:val="24"/>
          <w:szCs w:val="21"/>
        </w:rPr>
        <w:t>三、</w:t>
      </w:r>
      <w:r>
        <w:rPr>
          <w:rFonts w:hint="eastAsia"/>
          <w:color w:val="000000" w:themeColor="text1"/>
          <w:sz w:val="24"/>
          <w14:textFill>
            <w14:solidFill>
              <w14:schemeClr w14:val="tx1"/>
            </w14:solidFill>
          </w14:textFill>
        </w:rPr>
        <w:t>高效液相色谱部分性能需求</w:t>
      </w:r>
    </w:p>
    <w:p w14:paraId="4E45CA50">
      <w:pPr>
        <w:numPr>
          <w:ilvl w:val="0"/>
          <w:numId w:val="3"/>
        </w:numPr>
        <w:spacing w:line="500" w:lineRule="atLeast"/>
        <w:rPr>
          <w:rFonts w:hAnsi="Arial"/>
          <w:sz w:val="24"/>
        </w:rPr>
      </w:pPr>
      <w:r>
        <w:rPr>
          <w:rFonts w:hint="eastAsia" w:hAnsi="Arial"/>
          <w:sz w:val="24"/>
        </w:rPr>
        <w:t>压力范</w:t>
      </w:r>
      <w:r>
        <w:rPr>
          <w:rFonts w:hint="eastAsia"/>
          <w:sz w:val="24"/>
          <w:lang w:val="de-DE"/>
        </w:rPr>
        <w:t>围：不低于12</w:t>
      </w:r>
      <w:r>
        <w:rPr>
          <w:sz w:val="24"/>
          <w:lang w:val="de-DE"/>
        </w:rPr>
        <w:t xml:space="preserve">,000 </w:t>
      </w:r>
      <w:r>
        <w:rPr>
          <w:rFonts w:hint="eastAsia"/>
          <w:sz w:val="24"/>
          <w:lang w:val="de-DE"/>
        </w:rPr>
        <w:t>psi；</w:t>
      </w:r>
    </w:p>
    <w:p w14:paraId="217ABA3A">
      <w:pPr>
        <w:numPr>
          <w:ilvl w:val="0"/>
          <w:numId w:val="3"/>
        </w:numPr>
        <w:spacing w:line="500" w:lineRule="atLeast"/>
        <w:rPr>
          <w:rFonts w:hAnsi="Arial"/>
          <w:sz w:val="24"/>
        </w:rPr>
      </w:pPr>
      <w:r>
        <w:rPr>
          <w:rFonts w:hint="eastAsia" w:hAnsi="Arial"/>
          <w:sz w:val="24"/>
        </w:rPr>
        <w:t>流速范围：0.01~ 5mL/min，步进0.01 mL/min；</w:t>
      </w:r>
    </w:p>
    <w:p w14:paraId="238BE943">
      <w:pPr>
        <w:numPr>
          <w:ilvl w:val="0"/>
          <w:numId w:val="3"/>
        </w:numPr>
        <w:spacing w:line="500" w:lineRule="atLeast"/>
        <w:rPr>
          <w:rFonts w:hAnsi="Arial"/>
          <w:sz w:val="24"/>
        </w:rPr>
      </w:pPr>
      <w:r>
        <w:rPr>
          <w:rFonts w:hint="eastAsia" w:hAnsi="Arial"/>
          <w:sz w:val="24"/>
        </w:rPr>
        <w:t>柱容量：具备可满足使用需求的柱容量，且可通过便捷地自动切换方式更换，便于使用。</w:t>
      </w:r>
    </w:p>
    <w:p w14:paraId="5C474DF2">
      <w:pPr>
        <w:pStyle w:val="4"/>
        <w:spacing w:line="500" w:lineRule="atLeast"/>
        <w:rPr>
          <w:sz w:val="24"/>
          <w:szCs w:val="21"/>
        </w:rPr>
      </w:pPr>
      <w:r>
        <w:rPr>
          <w:rFonts w:hint="eastAsia"/>
          <w:sz w:val="24"/>
          <w:szCs w:val="21"/>
        </w:rPr>
        <w:t>四、质保五年</w:t>
      </w:r>
    </w:p>
    <w:p w14:paraId="734BB82B">
      <w:pPr>
        <w:pStyle w:val="4"/>
        <w:numPr>
          <w:ilvl w:val="0"/>
          <w:numId w:val="4"/>
        </w:numPr>
        <w:spacing w:line="500" w:lineRule="atLeast"/>
        <w:rPr>
          <w:sz w:val="24"/>
          <w:szCs w:val="21"/>
        </w:rPr>
      </w:pPr>
      <w:r>
        <w:rPr>
          <w:rFonts w:hint="eastAsia"/>
          <w:sz w:val="24"/>
          <w:szCs w:val="21"/>
        </w:rPr>
        <w:t>检测试剂需求</w:t>
      </w:r>
    </w:p>
    <w:p w14:paraId="7DCFF4B0">
      <w:pPr>
        <w:numPr>
          <w:ilvl w:val="0"/>
          <w:numId w:val="5"/>
        </w:numPr>
        <w:spacing w:line="500" w:lineRule="atLeast"/>
        <w:rPr>
          <w:rFonts w:hAnsi="Arial"/>
          <w:sz w:val="24"/>
        </w:rPr>
      </w:pPr>
      <w:r>
        <w:rPr>
          <w:rFonts w:hint="eastAsia" w:hAnsi="Arial"/>
          <w:sz w:val="24"/>
        </w:rPr>
        <w:t>该设备供应商或厂家需同时具备生产注册销售该质谱系统及其配套试剂盒的能力，便于进行适配性匹配；</w:t>
      </w:r>
    </w:p>
    <w:p w14:paraId="75F2A9B6">
      <w:pPr>
        <w:numPr>
          <w:ilvl w:val="0"/>
          <w:numId w:val="5"/>
        </w:numPr>
        <w:spacing w:line="500" w:lineRule="atLeast"/>
        <w:rPr>
          <w:rFonts w:hAnsi="Arial"/>
          <w:sz w:val="24"/>
        </w:rPr>
      </w:pPr>
      <w:r>
        <w:rPr>
          <w:rFonts w:hint="eastAsia" w:hAnsi="Arial"/>
          <w:sz w:val="24"/>
        </w:rPr>
        <w:t>试剂盒组成的检测系统能提供相关的溯源性证明文件。</w:t>
      </w:r>
    </w:p>
    <w:p w14:paraId="0D7679C3">
      <w:pPr>
        <w:numPr>
          <w:ilvl w:val="0"/>
          <w:numId w:val="5"/>
        </w:numPr>
        <w:spacing w:line="500" w:lineRule="atLeast"/>
        <w:rPr>
          <w:rFonts w:hAnsi="Arial"/>
          <w:sz w:val="24"/>
        </w:rPr>
      </w:pPr>
      <w:r>
        <w:rPr>
          <w:rFonts w:hint="eastAsia" w:hAnsi="Arial"/>
          <w:sz w:val="24"/>
        </w:rPr>
        <w:t>需至少通过2类指标及以上的国家卫健委临检中心的室间质评，并提供印证材料。</w:t>
      </w:r>
    </w:p>
    <w:p w14:paraId="54701166">
      <w:pPr>
        <w:numPr>
          <w:ilvl w:val="0"/>
          <w:numId w:val="3"/>
        </w:numPr>
        <w:spacing w:line="500" w:lineRule="atLeast"/>
        <w:rPr>
          <w:rFonts w:hAnsi="Arial"/>
          <w:sz w:val="24"/>
        </w:rPr>
      </w:pPr>
      <w:r>
        <w:rPr>
          <w:rFonts w:hint="eastAsia" w:hAnsi="Arial"/>
          <w:sz w:val="24"/>
        </w:rPr>
        <w:t>便利性和测量结果准</w:t>
      </w:r>
      <w:bookmarkStart w:id="0" w:name="_GoBack"/>
      <w:bookmarkEnd w:id="0"/>
      <w:r>
        <w:rPr>
          <w:rFonts w:hint="eastAsia" w:hAnsi="Arial"/>
          <w:sz w:val="24"/>
        </w:rPr>
        <w:t>确性保证：厂家试剂方案需提供是完整的方法包，至少包括流动相、校准品、质控品、内标液等。</w:t>
      </w:r>
    </w:p>
    <w:p w14:paraId="063BD3A9">
      <w:pPr>
        <w:numPr>
          <w:ilvl w:val="0"/>
          <w:numId w:val="3"/>
        </w:numPr>
        <w:spacing w:line="500" w:lineRule="atLeast"/>
        <w:rPr>
          <w:rFonts w:hint="eastAsia" w:hAnsi="Arial"/>
          <w:sz w:val="24"/>
        </w:rPr>
      </w:pPr>
      <w:r>
        <w:rPr>
          <w:rFonts w:hint="eastAsia" w:hAnsi="Arial"/>
          <w:sz w:val="24"/>
        </w:rPr>
        <w:t>配套实验室所需通风柜、排烟罩通风设施。</w:t>
      </w:r>
    </w:p>
    <w:p w14:paraId="5693FB8B">
      <w:pPr>
        <w:numPr>
          <w:ilvl w:val="0"/>
          <w:numId w:val="3"/>
        </w:numPr>
        <w:spacing w:line="500" w:lineRule="atLeast"/>
        <w:rPr>
          <w:rFonts w:hAnsi="Arial"/>
          <w:sz w:val="24"/>
        </w:rPr>
      </w:pPr>
      <w:r>
        <w:rPr>
          <w:rFonts w:hint="eastAsia" w:hAnsi="Arial"/>
          <w:sz w:val="24"/>
        </w:rPr>
        <w:t>所有检测试剂需配备以下人次数量。</w:t>
      </w:r>
    </w:p>
    <w:p w14:paraId="02656AAC">
      <w:pPr>
        <w:spacing w:line="500" w:lineRule="atLeast"/>
        <w:rPr>
          <w:rFonts w:hint="eastAsia" w:hAnsi="Arial"/>
          <w:sz w:val="24"/>
        </w:rPr>
      </w:pPr>
    </w:p>
    <w:p w14:paraId="13B36BC0">
      <w:pPr>
        <w:spacing w:line="500" w:lineRule="atLeast"/>
        <w:rPr>
          <w:sz w:val="24"/>
        </w:rPr>
      </w:pPr>
    </w:p>
    <w:p w14:paraId="10E08DD9">
      <w:pPr>
        <w:spacing w:line="500" w:lineRule="atLeast"/>
        <w:rPr>
          <w:sz w:val="24"/>
        </w:rPr>
      </w:pPr>
    </w:p>
    <w:p w14:paraId="76B32D2C">
      <w:pPr>
        <w:spacing w:line="500" w:lineRule="atLeast"/>
        <w:rPr>
          <w:sz w:val="24"/>
        </w:rPr>
      </w:pPr>
    </w:p>
    <w:p w14:paraId="4FE68F0B">
      <w:pPr>
        <w:spacing w:line="500" w:lineRule="atLeast"/>
        <w:rPr>
          <w:sz w:val="24"/>
        </w:rPr>
      </w:pPr>
    </w:p>
    <w:p w14:paraId="5054CE00">
      <w:pPr>
        <w:spacing w:line="500" w:lineRule="atLeast"/>
        <w:rPr>
          <w:sz w:val="24"/>
        </w:rPr>
      </w:pPr>
    </w:p>
    <w:p w14:paraId="63F47746">
      <w:pPr>
        <w:spacing w:line="500" w:lineRule="atLeast"/>
        <w:rPr>
          <w:sz w:val="24"/>
        </w:rPr>
      </w:pPr>
    </w:p>
    <w:p w14:paraId="3F093841">
      <w:pPr>
        <w:spacing w:line="500" w:lineRule="atLeast"/>
        <w:rPr>
          <w:sz w:val="24"/>
        </w:rPr>
      </w:pPr>
    </w:p>
    <w:p w14:paraId="3B6332F3">
      <w:pPr>
        <w:spacing w:line="500" w:lineRule="atLeast"/>
        <w:jc w:val="center"/>
        <w:rPr>
          <w:rFonts w:hint="eastAsia" w:ascii="黑体" w:hAnsi="黑体" w:eastAsia="黑体" w:cs="黑体"/>
          <w:sz w:val="36"/>
          <w:szCs w:val="36"/>
        </w:rPr>
      </w:pPr>
      <w:r>
        <w:rPr>
          <w:rFonts w:hint="eastAsia" w:ascii="黑体" w:hAnsi="黑体" w:eastAsia="黑体" w:cs="黑体"/>
          <w:sz w:val="36"/>
          <w:szCs w:val="36"/>
        </w:rPr>
        <w:t>检验科试剂使用量统计</w:t>
      </w:r>
    </w:p>
    <w:tbl>
      <w:tblPr>
        <w:tblStyle w:val="11"/>
        <w:tblW w:w="9208" w:type="dxa"/>
        <w:tblInd w:w="-419" w:type="dxa"/>
        <w:tblLayout w:type="fixed"/>
        <w:tblCellMar>
          <w:top w:w="0" w:type="dxa"/>
          <w:left w:w="108" w:type="dxa"/>
          <w:bottom w:w="0" w:type="dxa"/>
          <w:right w:w="108" w:type="dxa"/>
        </w:tblCellMar>
      </w:tblPr>
      <w:tblGrid>
        <w:gridCol w:w="691"/>
        <w:gridCol w:w="1879"/>
        <w:gridCol w:w="3595"/>
        <w:gridCol w:w="2171"/>
        <w:gridCol w:w="872"/>
      </w:tblGrid>
      <w:tr w14:paraId="3E689B5D">
        <w:trPr>
          <w:trHeight w:val="636" w:hRule="atLeast"/>
        </w:trPr>
        <w:tc>
          <w:tcPr>
            <w:tcW w:w="691" w:type="dxa"/>
            <w:tcBorders>
              <w:top w:val="single" w:color="000000" w:sz="4" w:space="0"/>
              <w:left w:val="single" w:color="000000" w:sz="4" w:space="0"/>
              <w:bottom w:val="single" w:color="000000" w:sz="4" w:space="0"/>
              <w:right w:val="single" w:color="000000" w:sz="4" w:space="0"/>
            </w:tcBorders>
            <w:vAlign w:val="center"/>
          </w:tcPr>
          <w:p w14:paraId="2F5CEB93">
            <w:pPr>
              <w:widowControl/>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序号</w:t>
            </w:r>
          </w:p>
        </w:tc>
        <w:tc>
          <w:tcPr>
            <w:tcW w:w="1879" w:type="dxa"/>
            <w:tcBorders>
              <w:top w:val="single" w:color="000000" w:sz="4" w:space="0"/>
              <w:left w:val="single" w:color="000000" w:sz="4" w:space="0"/>
              <w:bottom w:val="single" w:color="000000" w:sz="4" w:space="0"/>
              <w:right w:val="single" w:color="000000" w:sz="4" w:space="0"/>
            </w:tcBorders>
            <w:vAlign w:val="center"/>
          </w:tcPr>
          <w:p w14:paraId="5DE3EFC2">
            <w:pPr>
              <w:widowControl/>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项目</w:t>
            </w:r>
          </w:p>
        </w:tc>
        <w:tc>
          <w:tcPr>
            <w:tcW w:w="3595" w:type="dxa"/>
            <w:tcBorders>
              <w:top w:val="single" w:color="000000" w:sz="4" w:space="0"/>
              <w:left w:val="single" w:color="000000" w:sz="4" w:space="0"/>
              <w:bottom w:val="single" w:color="000000" w:sz="4" w:space="0"/>
              <w:right w:val="single" w:color="000000" w:sz="4" w:space="0"/>
            </w:tcBorders>
            <w:vAlign w:val="center"/>
          </w:tcPr>
          <w:p w14:paraId="598340F8">
            <w:pPr>
              <w:widowControl/>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检测指标</w:t>
            </w:r>
          </w:p>
        </w:tc>
        <w:tc>
          <w:tcPr>
            <w:tcW w:w="2171" w:type="dxa"/>
            <w:tcBorders>
              <w:top w:val="single" w:color="000000" w:sz="4" w:space="0"/>
              <w:left w:val="single" w:color="000000" w:sz="4" w:space="0"/>
              <w:bottom w:val="single" w:color="000000" w:sz="4" w:space="0"/>
              <w:right w:val="single" w:color="000000" w:sz="4" w:space="0"/>
            </w:tcBorders>
            <w:vAlign w:val="center"/>
          </w:tcPr>
          <w:p w14:paraId="22648804">
            <w:pPr>
              <w:widowControl/>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项目名称</w:t>
            </w:r>
          </w:p>
        </w:tc>
        <w:tc>
          <w:tcPr>
            <w:tcW w:w="872" w:type="dxa"/>
            <w:tcBorders>
              <w:top w:val="single" w:color="000000" w:sz="4" w:space="0"/>
              <w:left w:val="single" w:color="000000" w:sz="4" w:space="0"/>
              <w:bottom w:val="single" w:color="000000" w:sz="4" w:space="0"/>
              <w:right w:val="single" w:color="000000" w:sz="4" w:space="0"/>
            </w:tcBorders>
            <w:vAlign w:val="center"/>
          </w:tcPr>
          <w:p w14:paraId="646582CA">
            <w:pPr>
              <w:widowControl/>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检测量/人次</w:t>
            </w:r>
          </w:p>
        </w:tc>
      </w:tr>
      <w:tr w14:paraId="6C8E56A7">
        <w:tblPrEx>
          <w:tblCellMar>
            <w:top w:w="0" w:type="dxa"/>
            <w:left w:w="108" w:type="dxa"/>
            <w:bottom w:w="0" w:type="dxa"/>
            <w:right w:w="108" w:type="dxa"/>
          </w:tblCellMar>
        </w:tblPrEx>
        <w:trPr>
          <w:trHeight w:val="749" w:hRule="atLeast"/>
        </w:trPr>
        <w:tc>
          <w:tcPr>
            <w:tcW w:w="691" w:type="dxa"/>
            <w:tcBorders>
              <w:top w:val="single" w:color="000000" w:sz="4" w:space="0"/>
              <w:left w:val="single" w:color="000000" w:sz="4" w:space="0"/>
              <w:bottom w:val="single" w:color="000000" w:sz="4" w:space="0"/>
              <w:right w:val="single" w:color="000000" w:sz="4" w:space="0"/>
            </w:tcBorders>
            <w:vAlign w:val="center"/>
          </w:tcPr>
          <w:p w14:paraId="5A67516B">
            <w:pPr>
              <w:widowControl/>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1</w:t>
            </w:r>
          </w:p>
        </w:tc>
        <w:tc>
          <w:tcPr>
            <w:tcW w:w="1879" w:type="dxa"/>
            <w:tcBorders>
              <w:top w:val="single" w:color="000000" w:sz="4" w:space="0"/>
              <w:left w:val="single" w:color="000000" w:sz="4" w:space="0"/>
              <w:bottom w:val="single" w:color="000000" w:sz="4" w:space="0"/>
              <w:right w:val="single" w:color="000000" w:sz="4" w:space="0"/>
            </w:tcBorders>
            <w:vAlign w:val="center"/>
          </w:tcPr>
          <w:p w14:paraId="40204B66">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脂溶性维生素5项</w:t>
            </w:r>
          </w:p>
        </w:tc>
        <w:tc>
          <w:tcPr>
            <w:tcW w:w="3595" w:type="dxa"/>
            <w:tcBorders>
              <w:top w:val="single" w:color="000000" w:sz="4" w:space="0"/>
              <w:left w:val="single" w:color="000000" w:sz="4" w:space="0"/>
              <w:bottom w:val="single" w:color="000000" w:sz="4" w:space="0"/>
              <w:right w:val="single" w:color="000000" w:sz="4" w:space="0"/>
            </w:tcBorders>
            <w:vAlign w:val="center"/>
          </w:tcPr>
          <w:p w14:paraId="103F6384">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维生素A、维生素D2、维生素D3、维生素E、维生素K</w:t>
            </w:r>
          </w:p>
        </w:tc>
        <w:tc>
          <w:tcPr>
            <w:tcW w:w="2171" w:type="dxa"/>
            <w:tcBorders>
              <w:top w:val="single" w:color="000000" w:sz="4" w:space="0"/>
              <w:left w:val="single" w:color="000000" w:sz="4" w:space="0"/>
              <w:bottom w:val="single" w:color="000000" w:sz="4" w:space="0"/>
              <w:right w:val="single" w:color="000000" w:sz="4" w:space="0"/>
            </w:tcBorders>
            <w:vAlign w:val="center"/>
          </w:tcPr>
          <w:p w14:paraId="4A20B0BB">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25羟维生素D测定</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血清维生素测定</w:t>
            </w:r>
          </w:p>
        </w:tc>
        <w:tc>
          <w:tcPr>
            <w:tcW w:w="872" w:type="dxa"/>
            <w:tcBorders>
              <w:top w:val="single" w:color="000000" w:sz="4" w:space="0"/>
              <w:left w:val="single" w:color="000000" w:sz="4" w:space="0"/>
              <w:bottom w:val="single" w:color="000000" w:sz="4" w:space="0"/>
              <w:right w:val="single" w:color="000000" w:sz="4" w:space="0"/>
            </w:tcBorders>
            <w:noWrap/>
            <w:vAlign w:val="center"/>
          </w:tcPr>
          <w:p w14:paraId="530F6288">
            <w:pPr>
              <w:widowControl/>
              <w:jc w:val="center"/>
              <w:textAlignment w:val="center"/>
              <w:rPr>
                <w:rFonts w:hint="eastAsia" w:ascii="等线" w:hAnsi="等线" w:eastAsia="等线" w:cs="等线"/>
                <w:color w:val="000000"/>
                <w:sz w:val="20"/>
                <w:szCs w:val="20"/>
              </w:rPr>
            </w:pPr>
            <w:r>
              <w:rPr>
                <w:rFonts w:hint="eastAsia" w:ascii="等线" w:hAnsi="等线" w:eastAsia="等线" w:cs="等线"/>
                <w:color w:val="000000"/>
                <w:kern w:val="0"/>
                <w:sz w:val="20"/>
                <w:szCs w:val="20"/>
                <w:lang w:bidi="ar"/>
              </w:rPr>
              <w:t>1.7万</w:t>
            </w:r>
          </w:p>
        </w:tc>
      </w:tr>
      <w:tr w14:paraId="26C943DE">
        <w:tblPrEx>
          <w:tblCellMar>
            <w:top w:w="0" w:type="dxa"/>
            <w:left w:w="108" w:type="dxa"/>
            <w:bottom w:w="0" w:type="dxa"/>
            <w:right w:w="108" w:type="dxa"/>
          </w:tblCellMar>
        </w:tblPrEx>
        <w:trPr>
          <w:trHeight w:val="681" w:hRule="atLeast"/>
        </w:trPr>
        <w:tc>
          <w:tcPr>
            <w:tcW w:w="691" w:type="dxa"/>
            <w:tcBorders>
              <w:top w:val="single" w:color="000000" w:sz="4" w:space="0"/>
              <w:left w:val="single" w:color="000000" w:sz="4" w:space="0"/>
              <w:bottom w:val="single" w:color="000000" w:sz="4" w:space="0"/>
              <w:right w:val="single" w:color="000000" w:sz="4" w:space="0"/>
            </w:tcBorders>
            <w:vAlign w:val="center"/>
          </w:tcPr>
          <w:p w14:paraId="15AB069E">
            <w:pPr>
              <w:widowControl/>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2</w:t>
            </w:r>
          </w:p>
        </w:tc>
        <w:tc>
          <w:tcPr>
            <w:tcW w:w="1879" w:type="dxa"/>
            <w:tcBorders>
              <w:top w:val="single" w:color="000000" w:sz="4" w:space="0"/>
              <w:left w:val="single" w:color="000000" w:sz="4" w:space="0"/>
              <w:bottom w:val="single" w:color="000000" w:sz="4" w:space="0"/>
              <w:right w:val="single" w:color="000000" w:sz="4" w:space="0"/>
            </w:tcBorders>
            <w:vAlign w:val="center"/>
          </w:tcPr>
          <w:p w14:paraId="0746A920">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水溶性维生素9项</w:t>
            </w:r>
          </w:p>
        </w:tc>
        <w:tc>
          <w:tcPr>
            <w:tcW w:w="3595" w:type="dxa"/>
            <w:tcBorders>
              <w:top w:val="single" w:color="000000" w:sz="4" w:space="0"/>
              <w:left w:val="single" w:color="000000" w:sz="4" w:space="0"/>
              <w:bottom w:val="single" w:color="000000" w:sz="4" w:space="0"/>
              <w:right w:val="single" w:color="000000" w:sz="4" w:space="0"/>
            </w:tcBorders>
            <w:vAlign w:val="center"/>
          </w:tcPr>
          <w:p w14:paraId="2D6B9343">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维生素B1、B2、B3、B5、B6、B7、B9、B12、维生素C</w:t>
            </w:r>
          </w:p>
        </w:tc>
        <w:tc>
          <w:tcPr>
            <w:tcW w:w="2171" w:type="dxa"/>
            <w:tcBorders>
              <w:top w:val="single" w:color="000000" w:sz="4" w:space="0"/>
              <w:left w:val="single" w:color="000000" w:sz="4" w:space="0"/>
              <w:bottom w:val="single" w:color="000000" w:sz="4" w:space="0"/>
              <w:right w:val="single" w:color="000000" w:sz="4" w:space="0"/>
            </w:tcBorders>
            <w:vAlign w:val="center"/>
          </w:tcPr>
          <w:p w14:paraId="6121F159">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血清维生素测定</w:t>
            </w:r>
          </w:p>
        </w:tc>
        <w:tc>
          <w:tcPr>
            <w:tcW w:w="872" w:type="dxa"/>
            <w:tcBorders>
              <w:top w:val="single" w:color="000000" w:sz="4" w:space="0"/>
              <w:left w:val="single" w:color="000000" w:sz="4" w:space="0"/>
              <w:bottom w:val="single" w:color="000000" w:sz="4" w:space="0"/>
              <w:right w:val="single" w:color="000000" w:sz="4" w:space="0"/>
            </w:tcBorders>
            <w:noWrap/>
            <w:vAlign w:val="center"/>
          </w:tcPr>
          <w:p w14:paraId="60886775">
            <w:pPr>
              <w:widowControl/>
              <w:jc w:val="center"/>
              <w:textAlignment w:val="center"/>
              <w:rPr>
                <w:rFonts w:hint="eastAsia" w:ascii="等线" w:hAnsi="等线" w:eastAsia="等线" w:cs="等线"/>
                <w:color w:val="000000"/>
                <w:sz w:val="20"/>
                <w:szCs w:val="20"/>
              </w:rPr>
            </w:pPr>
            <w:r>
              <w:rPr>
                <w:rFonts w:hint="eastAsia" w:ascii="等线" w:hAnsi="等线" w:eastAsia="等线" w:cs="等线"/>
                <w:color w:val="000000"/>
                <w:kern w:val="0"/>
                <w:sz w:val="20"/>
                <w:szCs w:val="20"/>
                <w:lang w:bidi="ar"/>
              </w:rPr>
              <w:t>1万</w:t>
            </w:r>
          </w:p>
        </w:tc>
      </w:tr>
      <w:tr w14:paraId="539739EE">
        <w:tblPrEx>
          <w:tblCellMar>
            <w:top w:w="0" w:type="dxa"/>
            <w:left w:w="108" w:type="dxa"/>
            <w:bottom w:w="0" w:type="dxa"/>
            <w:right w:w="108" w:type="dxa"/>
          </w:tblCellMar>
        </w:tblPrEx>
        <w:trPr>
          <w:trHeight w:val="712" w:hRule="atLeast"/>
        </w:trPr>
        <w:tc>
          <w:tcPr>
            <w:tcW w:w="691" w:type="dxa"/>
            <w:tcBorders>
              <w:top w:val="single" w:color="000000" w:sz="4" w:space="0"/>
              <w:left w:val="single" w:color="000000" w:sz="4" w:space="0"/>
              <w:bottom w:val="single" w:color="000000" w:sz="4" w:space="0"/>
              <w:right w:val="single" w:color="000000" w:sz="4" w:space="0"/>
            </w:tcBorders>
            <w:vAlign w:val="center"/>
          </w:tcPr>
          <w:p w14:paraId="59146CDA">
            <w:pPr>
              <w:widowControl/>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3</w:t>
            </w:r>
          </w:p>
        </w:tc>
        <w:tc>
          <w:tcPr>
            <w:tcW w:w="1879" w:type="dxa"/>
            <w:tcBorders>
              <w:top w:val="single" w:color="000000" w:sz="4" w:space="0"/>
              <w:left w:val="single" w:color="000000" w:sz="4" w:space="0"/>
              <w:bottom w:val="single" w:color="000000" w:sz="4" w:space="0"/>
              <w:right w:val="single" w:color="000000" w:sz="4" w:space="0"/>
            </w:tcBorders>
            <w:vAlign w:val="center"/>
          </w:tcPr>
          <w:p w14:paraId="739C203E">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维生素D2/D3（血清、末梢血）</w:t>
            </w:r>
          </w:p>
        </w:tc>
        <w:tc>
          <w:tcPr>
            <w:tcW w:w="3595" w:type="dxa"/>
            <w:tcBorders>
              <w:top w:val="single" w:color="000000" w:sz="4" w:space="0"/>
              <w:left w:val="single" w:color="000000" w:sz="4" w:space="0"/>
              <w:bottom w:val="single" w:color="000000" w:sz="4" w:space="0"/>
              <w:right w:val="single" w:color="000000" w:sz="4" w:space="0"/>
            </w:tcBorders>
            <w:vAlign w:val="center"/>
          </w:tcPr>
          <w:p w14:paraId="2CBB3219">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25-OH VD2、25-OH VD3</w:t>
            </w:r>
          </w:p>
        </w:tc>
        <w:tc>
          <w:tcPr>
            <w:tcW w:w="2171" w:type="dxa"/>
            <w:tcBorders>
              <w:top w:val="single" w:color="000000" w:sz="4" w:space="0"/>
              <w:left w:val="single" w:color="000000" w:sz="4" w:space="0"/>
              <w:bottom w:val="single" w:color="000000" w:sz="4" w:space="0"/>
              <w:right w:val="single" w:color="000000" w:sz="4" w:space="0"/>
            </w:tcBorders>
            <w:vAlign w:val="center"/>
          </w:tcPr>
          <w:p w14:paraId="696286B6">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25羟维生素D测定</w:t>
            </w:r>
          </w:p>
        </w:tc>
        <w:tc>
          <w:tcPr>
            <w:tcW w:w="872" w:type="dxa"/>
            <w:tcBorders>
              <w:top w:val="single" w:color="000000" w:sz="4" w:space="0"/>
              <w:left w:val="single" w:color="000000" w:sz="4" w:space="0"/>
              <w:bottom w:val="single" w:color="000000" w:sz="4" w:space="0"/>
              <w:right w:val="single" w:color="000000" w:sz="4" w:space="0"/>
            </w:tcBorders>
            <w:noWrap/>
            <w:vAlign w:val="center"/>
          </w:tcPr>
          <w:p w14:paraId="591F0860">
            <w:pPr>
              <w:widowControl/>
              <w:jc w:val="center"/>
              <w:textAlignment w:val="center"/>
              <w:rPr>
                <w:rFonts w:hint="eastAsia" w:ascii="等线" w:hAnsi="等线" w:eastAsia="等线" w:cs="等线"/>
                <w:color w:val="000000"/>
                <w:sz w:val="20"/>
                <w:szCs w:val="20"/>
              </w:rPr>
            </w:pPr>
            <w:r>
              <w:rPr>
                <w:rFonts w:hint="eastAsia" w:ascii="等线" w:hAnsi="等线" w:eastAsia="等线" w:cs="等线"/>
                <w:color w:val="000000"/>
                <w:kern w:val="0"/>
                <w:sz w:val="20"/>
                <w:szCs w:val="20"/>
                <w:lang w:bidi="ar"/>
              </w:rPr>
              <w:t>2.5万</w:t>
            </w:r>
          </w:p>
        </w:tc>
      </w:tr>
      <w:tr w14:paraId="4F3F658F">
        <w:tblPrEx>
          <w:tblCellMar>
            <w:top w:w="0" w:type="dxa"/>
            <w:left w:w="108" w:type="dxa"/>
            <w:bottom w:w="0" w:type="dxa"/>
            <w:right w:w="108" w:type="dxa"/>
          </w:tblCellMar>
        </w:tblPrEx>
        <w:trPr>
          <w:trHeight w:val="909" w:hRule="atLeast"/>
        </w:trPr>
        <w:tc>
          <w:tcPr>
            <w:tcW w:w="691" w:type="dxa"/>
            <w:tcBorders>
              <w:top w:val="single" w:color="000000" w:sz="4" w:space="0"/>
              <w:left w:val="single" w:color="000000" w:sz="4" w:space="0"/>
              <w:bottom w:val="single" w:color="000000" w:sz="4" w:space="0"/>
              <w:right w:val="single" w:color="000000" w:sz="4" w:space="0"/>
            </w:tcBorders>
            <w:vAlign w:val="center"/>
          </w:tcPr>
          <w:p w14:paraId="17152337">
            <w:pPr>
              <w:widowControl/>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4</w:t>
            </w:r>
          </w:p>
        </w:tc>
        <w:tc>
          <w:tcPr>
            <w:tcW w:w="1879" w:type="dxa"/>
            <w:tcBorders>
              <w:top w:val="single" w:color="000000" w:sz="4" w:space="0"/>
              <w:left w:val="single" w:color="000000" w:sz="4" w:space="0"/>
              <w:bottom w:val="single" w:color="000000" w:sz="4" w:space="0"/>
              <w:right w:val="single" w:color="000000" w:sz="4" w:space="0"/>
            </w:tcBorders>
            <w:vAlign w:val="center"/>
          </w:tcPr>
          <w:p w14:paraId="7CA83E61">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血儿茶酚胺6项</w:t>
            </w:r>
          </w:p>
        </w:tc>
        <w:tc>
          <w:tcPr>
            <w:tcW w:w="3595" w:type="dxa"/>
            <w:tcBorders>
              <w:top w:val="single" w:color="000000" w:sz="4" w:space="0"/>
              <w:left w:val="single" w:color="000000" w:sz="4" w:space="0"/>
              <w:bottom w:val="single" w:color="000000" w:sz="4" w:space="0"/>
              <w:right w:val="single" w:color="000000" w:sz="4" w:space="0"/>
            </w:tcBorders>
            <w:vAlign w:val="center"/>
          </w:tcPr>
          <w:p w14:paraId="1261C0AB">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多巴胺、肾上腺素、去甲肾上腺素、甲氧基肾上腺素、甲氧基去甲肾上腺素、3-甲氧酪胺</w:t>
            </w:r>
          </w:p>
        </w:tc>
        <w:tc>
          <w:tcPr>
            <w:tcW w:w="2171" w:type="dxa"/>
            <w:tcBorders>
              <w:top w:val="single" w:color="000000" w:sz="4" w:space="0"/>
              <w:left w:val="single" w:color="000000" w:sz="4" w:space="0"/>
              <w:bottom w:val="single" w:color="000000" w:sz="4" w:space="0"/>
              <w:right w:val="single" w:color="000000" w:sz="4" w:space="0"/>
            </w:tcBorders>
            <w:vAlign w:val="center"/>
          </w:tcPr>
          <w:p w14:paraId="7374E23B">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尿儿茶酚胺测定（色谱法）</w:t>
            </w:r>
          </w:p>
        </w:tc>
        <w:tc>
          <w:tcPr>
            <w:tcW w:w="872" w:type="dxa"/>
            <w:tcBorders>
              <w:top w:val="single" w:color="000000" w:sz="4" w:space="0"/>
              <w:left w:val="single" w:color="000000" w:sz="4" w:space="0"/>
              <w:bottom w:val="single" w:color="000000" w:sz="4" w:space="0"/>
              <w:right w:val="single" w:color="000000" w:sz="4" w:space="0"/>
            </w:tcBorders>
            <w:noWrap/>
            <w:vAlign w:val="center"/>
          </w:tcPr>
          <w:p w14:paraId="1E4B3A8E">
            <w:pPr>
              <w:widowControl/>
              <w:jc w:val="center"/>
              <w:textAlignment w:val="center"/>
              <w:rPr>
                <w:rFonts w:hint="eastAsia" w:ascii="等线" w:hAnsi="等线" w:eastAsia="等线" w:cs="等线"/>
                <w:color w:val="000000"/>
                <w:sz w:val="20"/>
                <w:szCs w:val="20"/>
              </w:rPr>
            </w:pPr>
            <w:r>
              <w:rPr>
                <w:rFonts w:hint="eastAsia" w:ascii="等线" w:hAnsi="等线" w:eastAsia="等线" w:cs="等线"/>
                <w:color w:val="000000"/>
                <w:kern w:val="0"/>
                <w:sz w:val="20"/>
                <w:szCs w:val="20"/>
                <w:lang w:bidi="ar"/>
              </w:rPr>
              <w:t>1.7万</w:t>
            </w:r>
          </w:p>
        </w:tc>
      </w:tr>
      <w:tr w14:paraId="440E8B90">
        <w:tblPrEx>
          <w:tblCellMar>
            <w:top w:w="0" w:type="dxa"/>
            <w:left w:w="108" w:type="dxa"/>
            <w:bottom w:w="0" w:type="dxa"/>
            <w:right w:w="108" w:type="dxa"/>
          </w:tblCellMar>
        </w:tblPrEx>
        <w:trPr>
          <w:trHeight w:val="1205" w:hRule="atLeast"/>
        </w:trPr>
        <w:tc>
          <w:tcPr>
            <w:tcW w:w="691" w:type="dxa"/>
            <w:tcBorders>
              <w:top w:val="single" w:color="000000" w:sz="4" w:space="0"/>
              <w:left w:val="single" w:color="000000" w:sz="4" w:space="0"/>
              <w:bottom w:val="single" w:color="000000" w:sz="4" w:space="0"/>
              <w:right w:val="single" w:color="000000" w:sz="4" w:space="0"/>
            </w:tcBorders>
            <w:vAlign w:val="center"/>
          </w:tcPr>
          <w:p w14:paraId="1DE46775">
            <w:pPr>
              <w:widowControl/>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5</w:t>
            </w:r>
          </w:p>
        </w:tc>
        <w:tc>
          <w:tcPr>
            <w:tcW w:w="1879" w:type="dxa"/>
            <w:tcBorders>
              <w:top w:val="single" w:color="000000" w:sz="4" w:space="0"/>
              <w:left w:val="single" w:color="000000" w:sz="4" w:space="0"/>
              <w:bottom w:val="single" w:color="000000" w:sz="4" w:space="0"/>
              <w:right w:val="single" w:color="000000" w:sz="4" w:space="0"/>
            </w:tcBorders>
            <w:vAlign w:val="center"/>
          </w:tcPr>
          <w:p w14:paraId="1D7E6FE9">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尿儿茶酚胺8项</w:t>
            </w:r>
          </w:p>
        </w:tc>
        <w:tc>
          <w:tcPr>
            <w:tcW w:w="3595" w:type="dxa"/>
            <w:tcBorders>
              <w:top w:val="single" w:color="000000" w:sz="4" w:space="0"/>
              <w:left w:val="single" w:color="000000" w:sz="4" w:space="0"/>
              <w:bottom w:val="single" w:color="000000" w:sz="4" w:space="0"/>
              <w:right w:val="single" w:color="000000" w:sz="4" w:space="0"/>
            </w:tcBorders>
            <w:vAlign w:val="center"/>
          </w:tcPr>
          <w:p w14:paraId="71F57B29">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多巴胺、肾上腺素、去甲肾上腺素、甲氧基肾上腺素、甲氧基去甲肾上腺素、3-甲氧酪胺、高香草酸、香草扁桃酸</w:t>
            </w:r>
          </w:p>
        </w:tc>
        <w:tc>
          <w:tcPr>
            <w:tcW w:w="2171" w:type="dxa"/>
            <w:tcBorders>
              <w:top w:val="single" w:color="000000" w:sz="4" w:space="0"/>
              <w:left w:val="single" w:color="000000" w:sz="4" w:space="0"/>
              <w:bottom w:val="single" w:color="000000" w:sz="4" w:space="0"/>
              <w:right w:val="single" w:color="000000" w:sz="4" w:space="0"/>
            </w:tcBorders>
            <w:vAlign w:val="center"/>
          </w:tcPr>
          <w:p w14:paraId="1AA3CC48">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尿儿茶酚胺测定（色谱法）</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尿香草苦杏仁酸(VMA)测定(色谱法)</w:t>
            </w:r>
          </w:p>
        </w:tc>
        <w:tc>
          <w:tcPr>
            <w:tcW w:w="872" w:type="dxa"/>
            <w:tcBorders>
              <w:top w:val="single" w:color="000000" w:sz="4" w:space="0"/>
              <w:left w:val="single" w:color="000000" w:sz="4" w:space="0"/>
              <w:bottom w:val="single" w:color="000000" w:sz="4" w:space="0"/>
              <w:right w:val="single" w:color="000000" w:sz="4" w:space="0"/>
            </w:tcBorders>
            <w:noWrap/>
            <w:vAlign w:val="center"/>
          </w:tcPr>
          <w:p w14:paraId="6C694874">
            <w:pPr>
              <w:widowControl/>
              <w:jc w:val="center"/>
              <w:textAlignment w:val="center"/>
              <w:rPr>
                <w:rFonts w:hint="eastAsia" w:ascii="等线" w:hAnsi="等线" w:eastAsia="等线" w:cs="等线"/>
                <w:color w:val="000000"/>
                <w:sz w:val="20"/>
                <w:szCs w:val="20"/>
              </w:rPr>
            </w:pPr>
            <w:r>
              <w:rPr>
                <w:rFonts w:hint="eastAsia" w:ascii="等线" w:hAnsi="等线" w:eastAsia="等线" w:cs="等线"/>
                <w:color w:val="000000"/>
                <w:kern w:val="0"/>
                <w:sz w:val="20"/>
                <w:szCs w:val="20"/>
                <w:lang w:bidi="ar"/>
              </w:rPr>
              <w:t>1.7万</w:t>
            </w:r>
          </w:p>
        </w:tc>
      </w:tr>
      <w:tr w14:paraId="50E78BD0">
        <w:tblPrEx>
          <w:tblCellMar>
            <w:top w:w="0" w:type="dxa"/>
            <w:left w:w="108" w:type="dxa"/>
            <w:bottom w:w="0" w:type="dxa"/>
            <w:right w:w="108" w:type="dxa"/>
          </w:tblCellMar>
        </w:tblPrEx>
        <w:trPr>
          <w:trHeight w:val="2215" w:hRule="atLeast"/>
        </w:trPr>
        <w:tc>
          <w:tcPr>
            <w:tcW w:w="691" w:type="dxa"/>
            <w:tcBorders>
              <w:top w:val="single" w:color="000000" w:sz="4" w:space="0"/>
              <w:left w:val="single" w:color="000000" w:sz="4" w:space="0"/>
              <w:bottom w:val="single" w:color="000000" w:sz="4" w:space="0"/>
              <w:right w:val="single" w:color="000000" w:sz="4" w:space="0"/>
            </w:tcBorders>
            <w:vAlign w:val="center"/>
          </w:tcPr>
          <w:p w14:paraId="78C05E57">
            <w:pPr>
              <w:widowControl/>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6</w:t>
            </w:r>
          </w:p>
        </w:tc>
        <w:tc>
          <w:tcPr>
            <w:tcW w:w="1879" w:type="dxa"/>
            <w:tcBorders>
              <w:top w:val="single" w:color="000000" w:sz="4" w:space="0"/>
              <w:left w:val="single" w:color="000000" w:sz="4" w:space="0"/>
              <w:bottom w:val="single" w:color="000000" w:sz="4" w:space="0"/>
              <w:right w:val="single" w:color="000000" w:sz="4" w:space="0"/>
            </w:tcBorders>
            <w:vAlign w:val="center"/>
          </w:tcPr>
          <w:p w14:paraId="7BCCE19D">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15种胆汁酸</w:t>
            </w:r>
          </w:p>
        </w:tc>
        <w:tc>
          <w:tcPr>
            <w:tcW w:w="3595" w:type="dxa"/>
            <w:tcBorders>
              <w:top w:val="single" w:color="000000" w:sz="4" w:space="0"/>
              <w:left w:val="single" w:color="000000" w:sz="4" w:space="0"/>
              <w:bottom w:val="single" w:color="000000" w:sz="4" w:space="0"/>
              <w:right w:val="single" w:color="000000" w:sz="4" w:space="0"/>
            </w:tcBorders>
            <w:vAlign w:val="center"/>
          </w:tcPr>
          <w:p w14:paraId="0E099DC8">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胆酸、脱氧胆酸、鹅脱氧胆酸、熊脱氧胆酸、石胆酸、甘氨胆酸、甘氨脱氧胆酸、甘氨鹅脱氧胆酸、甘氨熊脱氧胆酸、甘氨石胆酸、牛磺胆酸、牛磺脱氧胆酸、牛磺鹅脱氧胆酸、牛磺熊脱氧胆酸、牛磺石胆酸</w:t>
            </w:r>
          </w:p>
        </w:tc>
        <w:tc>
          <w:tcPr>
            <w:tcW w:w="2171" w:type="dxa"/>
            <w:tcBorders>
              <w:top w:val="single" w:color="000000" w:sz="4" w:space="0"/>
              <w:left w:val="single" w:color="000000" w:sz="4" w:space="0"/>
              <w:bottom w:val="single" w:color="000000" w:sz="4" w:space="0"/>
              <w:right w:val="single" w:color="000000" w:sz="4" w:space="0"/>
            </w:tcBorders>
            <w:vAlign w:val="center"/>
          </w:tcPr>
          <w:p w14:paraId="03B13805">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血清总胆汁酸测定</w:t>
            </w:r>
          </w:p>
        </w:tc>
        <w:tc>
          <w:tcPr>
            <w:tcW w:w="872" w:type="dxa"/>
            <w:tcBorders>
              <w:top w:val="single" w:color="000000" w:sz="4" w:space="0"/>
              <w:left w:val="single" w:color="000000" w:sz="4" w:space="0"/>
              <w:bottom w:val="single" w:color="000000" w:sz="4" w:space="0"/>
              <w:right w:val="single" w:color="000000" w:sz="4" w:space="0"/>
            </w:tcBorders>
            <w:noWrap/>
            <w:vAlign w:val="center"/>
          </w:tcPr>
          <w:p w14:paraId="4B342994">
            <w:pPr>
              <w:widowControl/>
              <w:jc w:val="center"/>
              <w:textAlignment w:val="center"/>
              <w:rPr>
                <w:rFonts w:hint="eastAsia" w:ascii="等线" w:hAnsi="等线" w:eastAsia="等线" w:cs="等线"/>
                <w:color w:val="000000"/>
                <w:sz w:val="20"/>
                <w:szCs w:val="20"/>
              </w:rPr>
            </w:pPr>
            <w:r>
              <w:rPr>
                <w:rFonts w:hint="eastAsia" w:ascii="等线" w:hAnsi="等线" w:eastAsia="等线" w:cs="等线"/>
                <w:color w:val="000000"/>
                <w:kern w:val="0"/>
                <w:sz w:val="20"/>
                <w:szCs w:val="20"/>
                <w:lang w:bidi="ar"/>
              </w:rPr>
              <w:t>0.8万</w:t>
            </w:r>
          </w:p>
        </w:tc>
      </w:tr>
      <w:tr w14:paraId="0E1AC9CB">
        <w:tblPrEx>
          <w:tblCellMar>
            <w:top w:w="0" w:type="dxa"/>
            <w:left w:w="108" w:type="dxa"/>
            <w:bottom w:w="0" w:type="dxa"/>
            <w:right w:w="108" w:type="dxa"/>
          </w:tblCellMar>
        </w:tblPrEx>
        <w:trPr>
          <w:trHeight w:val="720" w:hRule="atLeast"/>
        </w:trPr>
        <w:tc>
          <w:tcPr>
            <w:tcW w:w="691" w:type="dxa"/>
            <w:tcBorders>
              <w:top w:val="single" w:color="000000" w:sz="4" w:space="0"/>
              <w:left w:val="single" w:color="000000" w:sz="4" w:space="0"/>
              <w:bottom w:val="single" w:color="000000" w:sz="4" w:space="0"/>
              <w:right w:val="single" w:color="000000" w:sz="4" w:space="0"/>
            </w:tcBorders>
            <w:vAlign w:val="center"/>
          </w:tcPr>
          <w:p w14:paraId="6D5E91BB">
            <w:pPr>
              <w:widowControl/>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7</w:t>
            </w:r>
          </w:p>
        </w:tc>
        <w:tc>
          <w:tcPr>
            <w:tcW w:w="1879" w:type="dxa"/>
            <w:tcBorders>
              <w:top w:val="single" w:color="000000" w:sz="4" w:space="0"/>
              <w:left w:val="single" w:color="000000" w:sz="4" w:space="0"/>
              <w:bottom w:val="single" w:color="000000" w:sz="4" w:space="0"/>
              <w:right w:val="single" w:color="000000" w:sz="4" w:space="0"/>
            </w:tcBorders>
            <w:vAlign w:val="center"/>
          </w:tcPr>
          <w:p w14:paraId="79ACF1B7">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六种类固醇激素</w:t>
            </w:r>
          </w:p>
        </w:tc>
        <w:tc>
          <w:tcPr>
            <w:tcW w:w="3595" w:type="dxa"/>
            <w:tcBorders>
              <w:top w:val="single" w:color="000000" w:sz="4" w:space="0"/>
              <w:left w:val="single" w:color="000000" w:sz="4" w:space="0"/>
              <w:bottom w:val="single" w:color="000000" w:sz="4" w:space="0"/>
              <w:right w:val="single" w:color="000000" w:sz="4" w:space="0"/>
            </w:tcBorders>
            <w:vAlign w:val="center"/>
          </w:tcPr>
          <w:p w14:paraId="7465BC83">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睾酮、雄烯二酮、硫酸去氢表雄酮、皮质醇、17α-羟孕酮、孕酮</w:t>
            </w:r>
          </w:p>
        </w:tc>
        <w:tc>
          <w:tcPr>
            <w:tcW w:w="2171" w:type="dxa"/>
            <w:tcBorders>
              <w:top w:val="single" w:color="000000" w:sz="4" w:space="0"/>
              <w:left w:val="single" w:color="000000" w:sz="4" w:space="0"/>
              <w:bottom w:val="single" w:color="000000" w:sz="4" w:space="0"/>
              <w:right w:val="single" w:color="000000" w:sz="4" w:space="0"/>
            </w:tcBorders>
            <w:vAlign w:val="center"/>
          </w:tcPr>
          <w:p w14:paraId="2866F4D8">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甾体激素测定</w:t>
            </w:r>
          </w:p>
        </w:tc>
        <w:tc>
          <w:tcPr>
            <w:tcW w:w="872" w:type="dxa"/>
            <w:tcBorders>
              <w:top w:val="single" w:color="000000" w:sz="4" w:space="0"/>
              <w:left w:val="single" w:color="000000" w:sz="4" w:space="0"/>
              <w:bottom w:val="single" w:color="000000" w:sz="4" w:space="0"/>
              <w:right w:val="single" w:color="000000" w:sz="4" w:space="0"/>
            </w:tcBorders>
            <w:noWrap/>
            <w:vAlign w:val="center"/>
          </w:tcPr>
          <w:p w14:paraId="7F06CCFF">
            <w:pPr>
              <w:widowControl/>
              <w:jc w:val="center"/>
              <w:textAlignment w:val="center"/>
              <w:rPr>
                <w:rFonts w:hint="eastAsia" w:ascii="等线" w:hAnsi="等线" w:eastAsia="等线" w:cs="等线"/>
                <w:color w:val="000000"/>
                <w:sz w:val="20"/>
                <w:szCs w:val="20"/>
              </w:rPr>
            </w:pPr>
            <w:r>
              <w:rPr>
                <w:rFonts w:hint="eastAsia" w:ascii="等线" w:hAnsi="等线" w:eastAsia="等线" w:cs="等线"/>
                <w:color w:val="000000"/>
                <w:kern w:val="0"/>
                <w:sz w:val="20"/>
                <w:szCs w:val="20"/>
                <w:lang w:bidi="ar"/>
              </w:rPr>
              <w:t>1.7万</w:t>
            </w:r>
          </w:p>
        </w:tc>
      </w:tr>
      <w:tr w14:paraId="1CED8647">
        <w:tblPrEx>
          <w:tblCellMar>
            <w:top w:w="0" w:type="dxa"/>
            <w:left w:w="108" w:type="dxa"/>
            <w:bottom w:w="0" w:type="dxa"/>
            <w:right w:w="108" w:type="dxa"/>
          </w:tblCellMar>
        </w:tblPrEx>
        <w:trPr>
          <w:trHeight w:val="2380" w:hRule="atLeast"/>
        </w:trPr>
        <w:tc>
          <w:tcPr>
            <w:tcW w:w="691" w:type="dxa"/>
            <w:tcBorders>
              <w:top w:val="single" w:color="000000" w:sz="4" w:space="0"/>
              <w:left w:val="single" w:color="000000" w:sz="4" w:space="0"/>
              <w:bottom w:val="single" w:color="000000" w:sz="4" w:space="0"/>
              <w:right w:val="single" w:color="000000" w:sz="4" w:space="0"/>
            </w:tcBorders>
            <w:vAlign w:val="center"/>
          </w:tcPr>
          <w:p w14:paraId="62A32AF6">
            <w:pPr>
              <w:widowControl/>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8</w:t>
            </w:r>
          </w:p>
        </w:tc>
        <w:tc>
          <w:tcPr>
            <w:tcW w:w="1879" w:type="dxa"/>
            <w:tcBorders>
              <w:top w:val="single" w:color="000000" w:sz="4" w:space="0"/>
              <w:left w:val="single" w:color="000000" w:sz="4" w:space="0"/>
              <w:bottom w:val="single" w:color="000000" w:sz="4" w:space="0"/>
              <w:right w:val="single" w:color="000000" w:sz="4" w:space="0"/>
            </w:tcBorders>
            <w:vAlign w:val="center"/>
          </w:tcPr>
          <w:p w14:paraId="08E12E85">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23种氨基酸</w:t>
            </w:r>
          </w:p>
        </w:tc>
        <w:tc>
          <w:tcPr>
            <w:tcW w:w="3595" w:type="dxa"/>
            <w:tcBorders>
              <w:top w:val="single" w:color="000000" w:sz="4" w:space="0"/>
              <w:left w:val="single" w:color="000000" w:sz="4" w:space="0"/>
              <w:bottom w:val="single" w:color="000000" w:sz="4" w:space="0"/>
              <w:right w:val="single" w:color="000000" w:sz="4" w:space="0"/>
            </w:tcBorders>
            <w:vAlign w:val="center"/>
          </w:tcPr>
          <w:p w14:paraId="28369753">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天门冬酰胺、丝氨酸、甘氨酸、谷氨酰胺、天门冬氨酸、瓜氨酸、苏氨酸、β-丙氨酸、谷氨酸、组氨酸、丙氨酸、脯氨酸、精氨酸、鸟氨酸、赖氨酸、缬氨酸、甲硫氨酸、酪氨酸、牛磺酸、苯丙氨酸、色氨酸、亮氨酸、异亮氨酸</w:t>
            </w:r>
          </w:p>
        </w:tc>
        <w:tc>
          <w:tcPr>
            <w:tcW w:w="2171" w:type="dxa"/>
            <w:tcBorders>
              <w:top w:val="single" w:color="000000" w:sz="4" w:space="0"/>
              <w:left w:val="single" w:color="000000" w:sz="4" w:space="0"/>
              <w:bottom w:val="single" w:color="000000" w:sz="4" w:space="0"/>
              <w:right w:val="single" w:color="000000" w:sz="4" w:space="0"/>
            </w:tcBorders>
            <w:vAlign w:val="center"/>
          </w:tcPr>
          <w:p w14:paraId="1AE0EC20">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各类氨基酸测定</w:t>
            </w:r>
          </w:p>
        </w:tc>
        <w:tc>
          <w:tcPr>
            <w:tcW w:w="872" w:type="dxa"/>
            <w:tcBorders>
              <w:top w:val="single" w:color="000000" w:sz="4" w:space="0"/>
              <w:left w:val="single" w:color="000000" w:sz="4" w:space="0"/>
              <w:bottom w:val="single" w:color="000000" w:sz="4" w:space="0"/>
              <w:right w:val="single" w:color="000000" w:sz="4" w:space="0"/>
            </w:tcBorders>
            <w:noWrap/>
            <w:vAlign w:val="center"/>
          </w:tcPr>
          <w:p w14:paraId="4177C715">
            <w:pPr>
              <w:widowControl/>
              <w:jc w:val="center"/>
              <w:textAlignment w:val="center"/>
              <w:rPr>
                <w:rFonts w:hint="eastAsia" w:ascii="等线" w:hAnsi="等线" w:eastAsia="等线" w:cs="等线"/>
                <w:color w:val="000000"/>
                <w:sz w:val="20"/>
                <w:szCs w:val="20"/>
              </w:rPr>
            </w:pPr>
            <w:r>
              <w:rPr>
                <w:rFonts w:hint="eastAsia" w:ascii="等线" w:hAnsi="等线" w:eastAsia="等线" w:cs="等线"/>
                <w:color w:val="000000"/>
                <w:kern w:val="0"/>
                <w:sz w:val="20"/>
                <w:szCs w:val="20"/>
                <w:lang w:bidi="ar"/>
              </w:rPr>
              <w:t>1.7万</w:t>
            </w:r>
          </w:p>
        </w:tc>
      </w:tr>
      <w:tr w14:paraId="05556511">
        <w:tblPrEx>
          <w:tblCellMar>
            <w:top w:w="0" w:type="dxa"/>
            <w:left w:w="108" w:type="dxa"/>
            <w:bottom w:w="0" w:type="dxa"/>
            <w:right w:w="108" w:type="dxa"/>
          </w:tblCellMar>
        </w:tblPrEx>
        <w:trPr>
          <w:trHeight w:val="1680" w:hRule="atLeast"/>
        </w:trPr>
        <w:tc>
          <w:tcPr>
            <w:tcW w:w="691" w:type="dxa"/>
            <w:tcBorders>
              <w:top w:val="single" w:color="000000" w:sz="4" w:space="0"/>
              <w:left w:val="single" w:color="000000" w:sz="4" w:space="0"/>
              <w:bottom w:val="single" w:color="000000" w:sz="4" w:space="0"/>
              <w:right w:val="single" w:color="000000" w:sz="4" w:space="0"/>
            </w:tcBorders>
            <w:vAlign w:val="center"/>
          </w:tcPr>
          <w:p w14:paraId="0A940988">
            <w:pPr>
              <w:widowControl/>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9</w:t>
            </w:r>
          </w:p>
        </w:tc>
        <w:tc>
          <w:tcPr>
            <w:tcW w:w="1879" w:type="dxa"/>
            <w:tcBorders>
              <w:top w:val="single" w:color="000000" w:sz="4" w:space="0"/>
              <w:left w:val="single" w:color="000000" w:sz="4" w:space="0"/>
              <w:bottom w:val="single" w:color="000000" w:sz="4" w:space="0"/>
              <w:right w:val="single" w:color="000000" w:sz="4" w:space="0"/>
            </w:tcBorders>
            <w:vAlign w:val="center"/>
          </w:tcPr>
          <w:p w14:paraId="704D7022">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同型半胱氨酸及其代谢物</w:t>
            </w:r>
          </w:p>
        </w:tc>
        <w:tc>
          <w:tcPr>
            <w:tcW w:w="3595" w:type="dxa"/>
            <w:tcBorders>
              <w:top w:val="single" w:color="000000" w:sz="4" w:space="0"/>
              <w:left w:val="single" w:color="000000" w:sz="4" w:space="0"/>
              <w:bottom w:val="single" w:color="000000" w:sz="4" w:space="0"/>
              <w:right w:val="single" w:color="000000" w:sz="4" w:space="0"/>
            </w:tcBorders>
            <w:vAlign w:val="center"/>
          </w:tcPr>
          <w:p w14:paraId="1D5A2D13">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总同型半胱氨酸（HCY）、叶酸（FA）、蛋氨酸（ME）、5-甲基四氢叶酸、甲基丙二酸（MMA）、4-吡哆酸（VB6PA）、5磷酸吡哆醛（PLP）</w:t>
            </w:r>
          </w:p>
        </w:tc>
        <w:tc>
          <w:tcPr>
            <w:tcW w:w="2171" w:type="dxa"/>
            <w:tcBorders>
              <w:top w:val="single" w:color="000000" w:sz="4" w:space="0"/>
              <w:left w:val="single" w:color="000000" w:sz="4" w:space="0"/>
              <w:bottom w:val="single" w:color="000000" w:sz="4" w:space="0"/>
              <w:right w:val="single" w:color="000000" w:sz="4" w:space="0"/>
            </w:tcBorders>
            <w:vAlign w:val="center"/>
          </w:tcPr>
          <w:p w14:paraId="5DB66D29">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血同型半胱氨酸测定</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叶酸测定</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血清各类氨基酸测定</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血清维生素测定</w:t>
            </w:r>
          </w:p>
        </w:tc>
        <w:tc>
          <w:tcPr>
            <w:tcW w:w="872" w:type="dxa"/>
            <w:tcBorders>
              <w:top w:val="single" w:color="000000" w:sz="4" w:space="0"/>
              <w:left w:val="single" w:color="000000" w:sz="4" w:space="0"/>
              <w:bottom w:val="single" w:color="000000" w:sz="4" w:space="0"/>
              <w:right w:val="single" w:color="000000" w:sz="4" w:space="0"/>
            </w:tcBorders>
            <w:noWrap/>
            <w:vAlign w:val="center"/>
          </w:tcPr>
          <w:p w14:paraId="2C2ECF2A">
            <w:pPr>
              <w:widowControl/>
              <w:jc w:val="center"/>
              <w:textAlignment w:val="center"/>
              <w:rPr>
                <w:rFonts w:hint="eastAsia" w:ascii="等线" w:hAnsi="等线" w:eastAsia="等线" w:cs="等线"/>
                <w:color w:val="000000"/>
                <w:sz w:val="20"/>
                <w:szCs w:val="20"/>
              </w:rPr>
            </w:pPr>
            <w:r>
              <w:rPr>
                <w:rFonts w:hint="eastAsia" w:ascii="等线" w:hAnsi="等线" w:eastAsia="等线" w:cs="等线"/>
                <w:color w:val="000000"/>
                <w:kern w:val="0"/>
                <w:sz w:val="20"/>
                <w:szCs w:val="20"/>
                <w:lang w:bidi="ar"/>
              </w:rPr>
              <w:t>1万</w:t>
            </w:r>
          </w:p>
        </w:tc>
      </w:tr>
    </w:tbl>
    <w:p w14:paraId="5BD88BA8">
      <w:pPr>
        <w:spacing w:line="360" w:lineRule="auto"/>
        <w:rPr>
          <w:sz w:val="24"/>
        </w:rPr>
      </w:pPr>
    </w:p>
    <w:p w14:paraId="2BD387A8">
      <w:pPr>
        <w:spacing w:line="360" w:lineRule="auto"/>
        <w:rPr>
          <w:sz w:val="24"/>
        </w:rPr>
      </w:pPr>
    </w:p>
    <w:p w14:paraId="225120F7">
      <w:pPr>
        <w:spacing w:line="360" w:lineRule="auto"/>
        <w:rPr>
          <w:sz w:val="24"/>
        </w:rPr>
      </w:pPr>
    </w:p>
    <w:p w14:paraId="0C73B712">
      <w:pPr>
        <w:pStyle w:val="3"/>
        <w:keepNext w:val="0"/>
        <w:keepLines w:val="0"/>
        <w:widowControl/>
        <w:shd w:val="clear" w:color="auto" w:fill="FFFFFF"/>
        <w:spacing w:before="0" w:after="240" w:line="480" w:lineRule="atLeast"/>
        <w:jc w:val="center"/>
        <w:rPr>
          <w:rFonts w:ascii="Times New Roman" w:hAnsi="Times New Roman" w:eastAsia="宋体" w:cs="Times New Roman"/>
          <w:bCs/>
          <w:color w:val="0F1115"/>
          <w:sz w:val="33"/>
          <w:szCs w:val="33"/>
        </w:rPr>
      </w:pPr>
      <w:r>
        <w:rPr>
          <w:rFonts w:hint="eastAsia" w:ascii="Times New Roman" w:hAnsi="Times New Roman" w:eastAsia="宋体" w:cs="Times New Roman"/>
          <w:bCs/>
          <w:color w:val="0F1115"/>
          <w:sz w:val="33"/>
          <w:szCs w:val="33"/>
          <w:shd w:val="clear" w:color="auto" w:fill="FFFFFF"/>
        </w:rPr>
        <w:t>药剂科</w:t>
      </w:r>
      <w:r>
        <w:rPr>
          <w:rFonts w:ascii="Times New Roman" w:hAnsi="Times New Roman" w:eastAsia="宋体" w:cs="Times New Roman"/>
          <w:bCs/>
          <w:color w:val="0F1115"/>
          <w:sz w:val="33"/>
          <w:szCs w:val="33"/>
          <w:shd w:val="clear" w:color="auto" w:fill="FFFFFF"/>
        </w:rPr>
        <w:t>试剂使用量统计</w:t>
      </w:r>
    </w:p>
    <w:p w14:paraId="0DD50E7E">
      <w:pPr>
        <w:pStyle w:val="4"/>
        <w:keepNext w:val="0"/>
        <w:keepLines w:val="0"/>
        <w:widowControl/>
        <w:shd w:val="clear" w:color="auto" w:fill="FFFFFF"/>
        <w:spacing w:before="480" w:after="240" w:line="450" w:lineRule="atLeast"/>
        <w:rPr>
          <w:rFonts w:ascii="Times New Roman" w:hAnsi="Times New Roman" w:eastAsia="宋体" w:cs="Times New Roman"/>
          <w:bCs/>
          <w:color w:val="0F1115"/>
          <w:sz w:val="30"/>
          <w:szCs w:val="30"/>
        </w:rPr>
      </w:pPr>
      <w:r>
        <w:rPr>
          <w:rFonts w:ascii="Times New Roman" w:hAnsi="Times New Roman" w:eastAsia="宋体" w:cs="Times New Roman"/>
          <w:bCs/>
          <w:color w:val="0F1115"/>
          <w:sz w:val="30"/>
          <w:szCs w:val="30"/>
          <w:shd w:val="clear" w:color="auto" w:fill="FFFFFF"/>
        </w:rPr>
        <w:t>试剂品种与规格</w:t>
      </w:r>
    </w:p>
    <w:p w14:paraId="45A8FE99">
      <w:pPr>
        <w:pStyle w:val="9"/>
        <w:widowControl/>
        <w:shd w:val="clear" w:color="auto" w:fill="FFFFFF"/>
        <w:spacing w:before="240" w:after="240"/>
        <w:ind w:firstLine="480" w:firstLineChars="200"/>
        <w:rPr>
          <w:rFonts w:ascii="Times New Roman" w:hAnsi="Times New Roman" w:eastAsia="宋体" w:cs="Times New Roman"/>
          <w:color w:val="0F1115"/>
          <w:shd w:val="clear" w:color="auto" w:fill="FFFFFF"/>
        </w:rPr>
      </w:pPr>
      <w:r>
        <w:rPr>
          <w:rFonts w:ascii="Times New Roman" w:hAnsi="Times New Roman" w:eastAsia="宋体" w:cs="Times New Roman"/>
          <w:color w:val="0F1115"/>
          <w:shd w:val="clear" w:color="auto" w:fill="FFFFFF"/>
        </w:rPr>
        <w:t>血药浓度监测（TDM）已开展项目包括左乙拉西坦、卡马西平、奥卡西平、拉莫三嗪、丙戊酸钠。</w:t>
      </w:r>
    </w:p>
    <w:tbl>
      <w:tblPr>
        <w:tblStyle w:val="12"/>
        <w:tblW w:w="83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84"/>
        <w:gridCol w:w="3842"/>
      </w:tblGrid>
      <w:tr w14:paraId="64BED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4" w:type="dxa"/>
          </w:tcPr>
          <w:p w14:paraId="631596C8">
            <w:pPr>
              <w:jc w:val="center"/>
            </w:pPr>
            <w:r>
              <w:rPr>
                <w:rFonts w:hint="eastAsia"/>
              </w:rPr>
              <w:t>项目</w:t>
            </w:r>
          </w:p>
        </w:tc>
        <w:tc>
          <w:tcPr>
            <w:tcW w:w="3842" w:type="dxa"/>
          </w:tcPr>
          <w:p w14:paraId="001BAAF6">
            <w:pPr>
              <w:jc w:val="center"/>
            </w:pPr>
            <w:r>
              <w:rPr>
                <w:rFonts w:hint="eastAsia"/>
              </w:rPr>
              <w:t>人次数</w:t>
            </w:r>
          </w:p>
        </w:tc>
      </w:tr>
      <w:tr w14:paraId="698E4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4" w:type="dxa"/>
          </w:tcPr>
          <w:p w14:paraId="05925246">
            <w:pPr>
              <w:jc w:val="center"/>
            </w:pPr>
            <w:r>
              <w:rPr>
                <w:rFonts w:hint="eastAsia"/>
              </w:rPr>
              <w:t>左乙拉西坦</w:t>
            </w:r>
          </w:p>
        </w:tc>
        <w:tc>
          <w:tcPr>
            <w:tcW w:w="3842" w:type="dxa"/>
          </w:tcPr>
          <w:p w14:paraId="7E75E192">
            <w:pPr>
              <w:jc w:val="center"/>
            </w:pPr>
            <w:r>
              <w:rPr>
                <w:rFonts w:hint="eastAsia"/>
              </w:rPr>
              <w:t>400</w:t>
            </w:r>
          </w:p>
        </w:tc>
      </w:tr>
      <w:tr w14:paraId="15372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4" w:type="dxa"/>
          </w:tcPr>
          <w:p w14:paraId="0BD8086B">
            <w:pPr>
              <w:jc w:val="center"/>
            </w:pPr>
            <w:r>
              <w:rPr>
                <w:rFonts w:hint="eastAsia"/>
              </w:rPr>
              <w:t>丙戊酸钠</w:t>
            </w:r>
          </w:p>
        </w:tc>
        <w:tc>
          <w:tcPr>
            <w:tcW w:w="3842" w:type="dxa"/>
          </w:tcPr>
          <w:p w14:paraId="67B77195">
            <w:pPr>
              <w:jc w:val="center"/>
            </w:pPr>
            <w:r>
              <w:rPr>
                <w:rFonts w:hint="eastAsia"/>
              </w:rPr>
              <w:t>250</w:t>
            </w:r>
          </w:p>
        </w:tc>
      </w:tr>
      <w:tr w14:paraId="4596A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4" w:type="dxa"/>
          </w:tcPr>
          <w:p w14:paraId="14A82C6D">
            <w:pPr>
              <w:jc w:val="center"/>
            </w:pPr>
            <w:r>
              <w:rPr>
                <w:rFonts w:hint="eastAsia"/>
              </w:rPr>
              <w:t>奥卡西平</w:t>
            </w:r>
          </w:p>
        </w:tc>
        <w:tc>
          <w:tcPr>
            <w:tcW w:w="3842" w:type="dxa"/>
          </w:tcPr>
          <w:p w14:paraId="525A9B8D">
            <w:pPr>
              <w:jc w:val="center"/>
            </w:pPr>
            <w:r>
              <w:rPr>
                <w:rFonts w:hint="eastAsia"/>
              </w:rPr>
              <w:t>150</w:t>
            </w:r>
          </w:p>
        </w:tc>
      </w:tr>
      <w:tr w14:paraId="643F6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4" w:type="dxa"/>
          </w:tcPr>
          <w:p w14:paraId="47C29E4E">
            <w:pPr>
              <w:jc w:val="center"/>
            </w:pPr>
            <w:r>
              <w:rPr>
                <w:rFonts w:hint="eastAsia"/>
              </w:rPr>
              <w:t>卡马西平</w:t>
            </w:r>
          </w:p>
        </w:tc>
        <w:tc>
          <w:tcPr>
            <w:tcW w:w="3842" w:type="dxa"/>
          </w:tcPr>
          <w:p w14:paraId="1ECC7D87">
            <w:pPr>
              <w:jc w:val="center"/>
            </w:pPr>
            <w:r>
              <w:rPr>
                <w:rFonts w:hint="eastAsia"/>
              </w:rPr>
              <w:t>100</w:t>
            </w:r>
          </w:p>
        </w:tc>
      </w:tr>
      <w:tr w14:paraId="7CFA7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4" w:type="dxa"/>
          </w:tcPr>
          <w:p w14:paraId="2190730F">
            <w:pPr>
              <w:jc w:val="center"/>
            </w:pPr>
            <w:r>
              <w:rPr>
                <w:rFonts w:hint="eastAsia"/>
              </w:rPr>
              <w:t>拉莫三嗪</w:t>
            </w:r>
          </w:p>
        </w:tc>
        <w:tc>
          <w:tcPr>
            <w:tcW w:w="3842" w:type="dxa"/>
          </w:tcPr>
          <w:p w14:paraId="6ED06031">
            <w:pPr>
              <w:jc w:val="center"/>
            </w:pPr>
            <w:r>
              <w:rPr>
                <w:rFonts w:hint="eastAsia"/>
              </w:rPr>
              <w:t>100</w:t>
            </w:r>
          </w:p>
        </w:tc>
      </w:tr>
    </w:tbl>
    <w:p w14:paraId="41F5BE70">
      <w:pPr>
        <w:spacing w:line="360" w:lineRule="auto"/>
        <w:rPr>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3AB3BA"/>
    <w:multiLevelType w:val="singleLevel"/>
    <w:tmpl w:val="BF3AB3BA"/>
    <w:lvl w:ilvl="0" w:tentative="0">
      <w:start w:val="1"/>
      <w:numFmt w:val="decimal"/>
      <w:suff w:val="nothing"/>
      <w:lvlText w:val="%1、"/>
      <w:lvlJc w:val="left"/>
    </w:lvl>
  </w:abstractNum>
  <w:abstractNum w:abstractNumId="1">
    <w:nsid w:val="C0ED6D11"/>
    <w:multiLevelType w:val="singleLevel"/>
    <w:tmpl w:val="C0ED6D11"/>
    <w:lvl w:ilvl="0" w:tentative="0">
      <w:start w:val="1"/>
      <w:numFmt w:val="decimal"/>
      <w:suff w:val="nothing"/>
      <w:lvlText w:val="%1、"/>
      <w:lvlJc w:val="left"/>
    </w:lvl>
  </w:abstractNum>
  <w:abstractNum w:abstractNumId="2">
    <w:nsid w:val="D8CB31DF"/>
    <w:multiLevelType w:val="singleLevel"/>
    <w:tmpl w:val="D8CB31DF"/>
    <w:lvl w:ilvl="0" w:tentative="0">
      <w:start w:val="1"/>
      <w:numFmt w:val="decimal"/>
      <w:suff w:val="nothing"/>
      <w:lvlText w:val="%1、"/>
      <w:lvlJc w:val="left"/>
    </w:lvl>
  </w:abstractNum>
  <w:abstractNum w:abstractNumId="3">
    <w:nsid w:val="0FB69403"/>
    <w:multiLevelType w:val="singleLevel"/>
    <w:tmpl w:val="0FB69403"/>
    <w:lvl w:ilvl="0" w:tentative="0">
      <w:start w:val="1"/>
      <w:numFmt w:val="decimal"/>
      <w:suff w:val="nothing"/>
      <w:lvlText w:val="%1、"/>
      <w:lvlJc w:val="left"/>
    </w:lvl>
  </w:abstractNum>
  <w:abstractNum w:abstractNumId="4">
    <w:nsid w:val="7502DB27"/>
    <w:multiLevelType w:val="singleLevel"/>
    <w:tmpl w:val="7502DB27"/>
    <w:lvl w:ilvl="0" w:tentative="0">
      <w:start w:val="5"/>
      <w:numFmt w:val="chineseCounting"/>
      <w:suff w:val="nothing"/>
      <w:lvlText w:val="%1、"/>
      <w:lvlJc w:val="left"/>
      <w:rPr>
        <w:rFonts w:hint="eastAsia"/>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9004A6"/>
    <w:rsid w:val="00022798"/>
    <w:rsid w:val="0007660B"/>
    <w:rsid w:val="00097B08"/>
    <w:rsid w:val="000E3074"/>
    <w:rsid w:val="000F4D66"/>
    <w:rsid w:val="00135249"/>
    <w:rsid w:val="00135B82"/>
    <w:rsid w:val="0023339C"/>
    <w:rsid w:val="002628AA"/>
    <w:rsid w:val="003249D4"/>
    <w:rsid w:val="00346E63"/>
    <w:rsid w:val="0038137D"/>
    <w:rsid w:val="00385678"/>
    <w:rsid w:val="0042347C"/>
    <w:rsid w:val="00481A0F"/>
    <w:rsid w:val="004903FE"/>
    <w:rsid w:val="004D7E3D"/>
    <w:rsid w:val="004F7054"/>
    <w:rsid w:val="005167A4"/>
    <w:rsid w:val="00545C56"/>
    <w:rsid w:val="005C2953"/>
    <w:rsid w:val="00615E73"/>
    <w:rsid w:val="00636403"/>
    <w:rsid w:val="00640124"/>
    <w:rsid w:val="006E3279"/>
    <w:rsid w:val="00715D5A"/>
    <w:rsid w:val="00732C52"/>
    <w:rsid w:val="00760A20"/>
    <w:rsid w:val="007A25E7"/>
    <w:rsid w:val="00854770"/>
    <w:rsid w:val="00873FB2"/>
    <w:rsid w:val="008E3621"/>
    <w:rsid w:val="0095560A"/>
    <w:rsid w:val="009B77D1"/>
    <w:rsid w:val="009D4663"/>
    <w:rsid w:val="00A21DE9"/>
    <w:rsid w:val="00A715A2"/>
    <w:rsid w:val="00A74A7E"/>
    <w:rsid w:val="00AA4321"/>
    <w:rsid w:val="00AB00E5"/>
    <w:rsid w:val="00AE4214"/>
    <w:rsid w:val="00C455AF"/>
    <w:rsid w:val="00C82D19"/>
    <w:rsid w:val="00D438B6"/>
    <w:rsid w:val="00D57032"/>
    <w:rsid w:val="00E06723"/>
    <w:rsid w:val="00E95161"/>
    <w:rsid w:val="00EA3427"/>
    <w:rsid w:val="00F11281"/>
    <w:rsid w:val="00F313DC"/>
    <w:rsid w:val="00F366C9"/>
    <w:rsid w:val="00FC0D35"/>
    <w:rsid w:val="15211765"/>
    <w:rsid w:val="1C786F57"/>
    <w:rsid w:val="22665A29"/>
    <w:rsid w:val="2ACE0486"/>
    <w:rsid w:val="2CC654A1"/>
    <w:rsid w:val="34FA0AE0"/>
    <w:rsid w:val="3A9004A6"/>
    <w:rsid w:val="4021779A"/>
    <w:rsid w:val="4942057D"/>
    <w:rsid w:val="576C1134"/>
    <w:rsid w:val="63F76D18"/>
    <w:rsid w:val="666D6767"/>
    <w:rsid w:val="67952784"/>
    <w:rsid w:val="67CB0BB4"/>
    <w:rsid w:val="6F663F51"/>
    <w:rsid w:val="77655012"/>
    <w:rsid w:val="7C3F7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after="260" w:line="413" w:lineRule="auto"/>
      <w:outlineLvl w:val="2"/>
    </w:pPr>
    <w:rPr>
      <w:b/>
      <w:sz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16"/>
    <w:qFormat/>
    <w:uiPriority w:val="0"/>
    <w:pPr>
      <w:jc w:val="left"/>
    </w:pPr>
  </w:style>
  <w:style w:type="paragraph" w:styleId="6">
    <w:name w:val="Balloon Text"/>
    <w:basedOn w:val="1"/>
    <w:link w:val="18"/>
    <w:qFormat/>
    <w:uiPriority w:val="0"/>
    <w:rPr>
      <w:sz w:val="18"/>
      <w:szCs w:val="18"/>
    </w:rPr>
  </w:style>
  <w:style w:type="paragraph" w:styleId="7">
    <w:name w:val="footer"/>
    <w:basedOn w:val="1"/>
    <w:link w:val="21"/>
    <w:qFormat/>
    <w:uiPriority w:val="0"/>
    <w:pPr>
      <w:tabs>
        <w:tab w:val="center" w:pos="4153"/>
        <w:tab w:val="right" w:pos="8306"/>
      </w:tabs>
      <w:snapToGrid w:val="0"/>
      <w:jc w:val="left"/>
    </w:pPr>
    <w:rPr>
      <w:sz w:val="18"/>
      <w:szCs w:val="18"/>
    </w:rPr>
  </w:style>
  <w:style w:type="paragraph" w:styleId="8">
    <w:name w:val="header"/>
    <w:basedOn w:val="1"/>
    <w:link w:val="20"/>
    <w:qFormat/>
    <w:uiPriority w:val="0"/>
    <w:pPr>
      <w:tabs>
        <w:tab w:val="center" w:pos="4153"/>
        <w:tab w:val="right" w:pos="8306"/>
      </w:tabs>
      <w:snapToGrid w:val="0"/>
      <w:jc w:val="center"/>
    </w:pPr>
    <w:rPr>
      <w:sz w:val="18"/>
      <w:szCs w:val="18"/>
    </w:rPr>
  </w:style>
  <w:style w:type="paragraph" w:styleId="9">
    <w:name w:val="Normal (Web)"/>
    <w:basedOn w:val="1"/>
    <w:qFormat/>
    <w:uiPriority w:val="0"/>
    <w:rPr>
      <w:sz w:val="24"/>
    </w:rPr>
  </w:style>
  <w:style w:type="paragraph" w:styleId="10">
    <w:name w:val="annotation subject"/>
    <w:basedOn w:val="5"/>
    <w:next w:val="5"/>
    <w:link w:val="17"/>
    <w:qFormat/>
    <w:uiPriority w:val="0"/>
    <w:rPr>
      <w:b/>
      <w:bCs/>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annotation reference"/>
    <w:basedOn w:val="13"/>
    <w:qFormat/>
    <w:uiPriority w:val="0"/>
    <w:rPr>
      <w:sz w:val="21"/>
      <w:szCs w:val="21"/>
    </w:rPr>
  </w:style>
  <w:style w:type="character" w:customStyle="1" w:styleId="15">
    <w:name w:val="apple-style-span"/>
    <w:basedOn w:val="13"/>
    <w:qFormat/>
    <w:uiPriority w:val="0"/>
  </w:style>
  <w:style w:type="character" w:customStyle="1" w:styleId="16">
    <w:name w:val="批注文字 字符"/>
    <w:basedOn w:val="13"/>
    <w:link w:val="5"/>
    <w:qFormat/>
    <w:uiPriority w:val="0"/>
    <w:rPr>
      <w:kern w:val="2"/>
      <w:sz w:val="21"/>
      <w:szCs w:val="24"/>
    </w:rPr>
  </w:style>
  <w:style w:type="character" w:customStyle="1" w:styleId="17">
    <w:name w:val="批注主题 字符"/>
    <w:basedOn w:val="16"/>
    <w:link w:val="10"/>
    <w:qFormat/>
    <w:uiPriority w:val="0"/>
    <w:rPr>
      <w:b/>
      <w:bCs/>
      <w:kern w:val="2"/>
      <w:sz w:val="21"/>
      <w:szCs w:val="24"/>
    </w:rPr>
  </w:style>
  <w:style w:type="character" w:customStyle="1" w:styleId="18">
    <w:name w:val="批注框文本 字符"/>
    <w:basedOn w:val="13"/>
    <w:link w:val="6"/>
    <w:qFormat/>
    <w:uiPriority w:val="0"/>
    <w:rPr>
      <w:kern w:val="2"/>
      <w:sz w:val="18"/>
      <w:szCs w:val="18"/>
    </w:rPr>
  </w:style>
  <w:style w:type="paragraph" w:customStyle="1" w:styleId="19">
    <w:name w:val="修订1"/>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20">
    <w:name w:val="页眉 字符"/>
    <w:basedOn w:val="13"/>
    <w:link w:val="8"/>
    <w:qFormat/>
    <w:uiPriority w:val="0"/>
    <w:rPr>
      <w:kern w:val="2"/>
      <w:sz w:val="18"/>
      <w:szCs w:val="18"/>
    </w:rPr>
  </w:style>
  <w:style w:type="character" w:customStyle="1" w:styleId="21">
    <w:name w:val="页脚 字符"/>
    <w:basedOn w:val="13"/>
    <w:link w:val="7"/>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856F3C-B13E-4B67-BA31-2397B64E738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1603</Words>
  <Characters>1830</Characters>
  <Lines>86</Lines>
  <Paragraphs>93</Paragraphs>
  <TotalTime>51</TotalTime>
  <ScaleCrop>false</ScaleCrop>
  <LinksUpToDate>false</LinksUpToDate>
  <CharactersWithSpaces>1836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2026-09-16T01:45:00Z</dcterms:created>
  <dc:creator>Lee</dc:creator>
  <cp:lastModifiedBy>wuyinpeng</cp:lastModifiedBy>
  <cp:lastPrinted>2026-09-14T01:41:00Z</cp:lastPrinted>
  <dcterms:modified xsi:type="dcterms:W3CDTF">2026-09-18T00:55:27Z</dcterms:modified>
  <cp:revision>117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FA3D086067AA45AAB21652E8E87D6CF7_13</vt:lpwstr>
  </property>
  <property fmtid="{D5CDD505-2E9C-101B-9397-08002B2CF9AE}" pid="4" name="KSOTemplateDocerSaveRecord">
    <vt:lpwstr>eyJoZGlkIjoiMzM1ZDYxYzRlNTdiOTcyN2NiMTg1ZWRmOTNlNzc3OGEiLCJ1c2VySWQiOiI1MjkyMzkzNjEifQ==</vt:lpwstr>
  </property>
</Properties>
</file>