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02F8F">
      <w:pPr>
        <w:pStyle w:val="2"/>
        <w:spacing w:before="0" w:after="0"/>
        <w:rPr>
          <w:rFonts w:hint="eastAsia" w:ascii="宋体" w:hAnsi="宋体"/>
          <w:color w:val="000000"/>
          <w:sz w:val="28"/>
          <w:szCs w:val="28"/>
        </w:rPr>
      </w:pPr>
      <w:bookmarkStart w:id="0" w:name="_Toc23075"/>
      <w:r>
        <w:rPr>
          <w:rFonts w:hint="eastAsia" w:ascii="宋体" w:hAnsi="宋体"/>
          <w:color w:val="000000"/>
          <w:sz w:val="28"/>
          <w:szCs w:val="28"/>
        </w:rPr>
        <w:t>二、技术要求</w:t>
      </w:r>
      <w:bookmarkEnd w:id="0"/>
    </w:p>
    <w:p w14:paraId="48E4375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（一）服务范围要求</w:t>
      </w:r>
    </w:p>
    <w:p w14:paraId="5B1A8E6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需承接采购人病理外送检测及配套服务，包含但不限于常规病理诊断、术中冰冻病理诊断、免疫组化检测、特殊染色、病理报告复核、标本转运、标本归档、数据留存、技术答疑、业务培训等全部配套服务，完全覆盖甲方临床诊疗的所有病理外送需求。</w:t>
      </w:r>
    </w:p>
    <w:p w14:paraId="303BDE4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（二）检测技术与质量标准</w:t>
      </w:r>
    </w:p>
    <w:p w14:paraId="2FA40A9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1、供应商</w:t>
      </w:r>
      <w:r>
        <w:rPr>
          <w:rFonts w:hint="eastAsia" w:ascii="宋体" w:hAnsi="宋体" w:eastAsia="宋体" w:cs="宋体"/>
          <w:sz w:val="24"/>
          <w:szCs w:val="24"/>
          <w:lang w:val="en-US" w:eastAsia="zh-CN"/>
        </w:rPr>
        <w:t>需</w:t>
      </w:r>
      <w:r>
        <w:rPr>
          <w:rFonts w:hint="eastAsia" w:ascii="宋体" w:hAnsi="宋体" w:eastAsia="宋体" w:cs="宋体"/>
          <w:b w:val="0"/>
          <w:bCs w:val="0"/>
          <w:kern w:val="2"/>
          <w:sz w:val="24"/>
          <w:szCs w:val="24"/>
          <w:vertAlign w:val="baseline"/>
          <w:lang w:val="en-US" w:eastAsia="zh-CN" w:bidi="ar-SA"/>
        </w:rPr>
        <w:t>具备相应检测资质，</w:t>
      </w:r>
      <w:r>
        <w:rPr>
          <w:rFonts w:hint="eastAsia" w:ascii="宋体" w:hAnsi="宋体" w:eastAsia="宋体" w:cs="宋体"/>
          <w:sz w:val="24"/>
          <w:szCs w:val="24"/>
        </w:rPr>
        <w:t>所有检测项目必须严格执行《临床病理诊断规范》《病理科建设与管理指南》《医疗机构病理科质量控制规范》等国家、行业最新标准，检测流程标准化、规范化，检测结果精准、可靠，符合临床诊断及医疗质控要求。</w:t>
      </w:r>
    </w:p>
    <w:p w14:paraId="174A9D8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2、供应商需配备</w:t>
      </w:r>
      <w:r>
        <w:rPr>
          <w:rFonts w:hint="eastAsia" w:ascii="宋体" w:hAnsi="宋体" w:eastAsia="宋体" w:cs="宋体"/>
          <w:sz w:val="24"/>
          <w:szCs w:val="24"/>
          <w:lang w:val="en-US" w:eastAsia="zh-CN"/>
        </w:rPr>
        <w:t>相应</w:t>
      </w:r>
      <w:r>
        <w:rPr>
          <w:rFonts w:hint="eastAsia" w:ascii="宋体" w:hAnsi="宋体" w:eastAsia="宋体" w:cs="宋体"/>
          <w:sz w:val="24"/>
          <w:szCs w:val="24"/>
        </w:rPr>
        <w:t>的病理检测设备、实验仪器，</w:t>
      </w:r>
      <w:r>
        <w:rPr>
          <w:rFonts w:hint="eastAsia" w:ascii="宋体" w:hAnsi="宋体" w:eastAsia="宋体" w:cs="宋体"/>
          <w:b w:val="0"/>
          <w:bCs w:val="0"/>
          <w:sz w:val="24"/>
          <w:szCs w:val="24"/>
          <w:lang w:eastAsia="zh-CN"/>
        </w:rPr>
        <w:t>设备配置能够覆盖采购清单全部检测项目；</w:t>
      </w:r>
      <w:r>
        <w:rPr>
          <w:rFonts w:hint="eastAsia" w:ascii="宋体" w:hAnsi="宋体" w:eastAsia="宋体" w:cs="宋体"/>
          <w:sz w:val="24"/>
          <w:szCs w:val="24"/>
        </w:rPr>
        <w:t>所有试剂、耗材均为正规合格产品，具备资质证明，仪器设备定期校准、维护，确保检测精度与稳定性。</w:t>
      </w:r>
    </w:p>
    <w:p w14:paraId="792B662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3、配备固定的专职病理诊断医师、技术人员及专属对接服务人员。</w:t>
      </w:r>
    </w:p>
    <w:p w14:paraId="3D4A59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、建立完善的病理质量控制体系，包含室内质控、室间质评机制，定期参与</w:t>
      </w:r>
      <w:r>
        <w:rPr>
          <w:rFonts w:hint="eastAsia" w:ascii="宋体" w:hAnsi="宋体" w:eastAsia="宋体" w:cs="宋体"/>
          <w:sz w:val="24"/>
          <w:szCs w:val="24"/>
          <w:lang w:val="en-US" w:eastAsia="zh-CN"/>
        </w:rPr>
        <w:t>国家/</w:t>
      </w:r>
      <w:r>
        <w:rPr>
          <w:rFonts w:hint="eastAsia" w:ascii="宋体" w:hAnsi="宋体" w:eastAsia="宋体" w:cs="宋体"/>
          <w:sz w:val="24"/>
          <w:szCs w:val="24"/>
        </w:rPr>
        <w:t>省级病理检测室间质评且考核合格；针对检测全过程实行全流程质量管控，杜绝错检、漏检、误判等质量问题。</w:t>
      </w:r>
    </w:p>
    <w:p w14:paraId="6E04007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（三）服务时效要求</w:t>
      </w:r>
    </w:p>
    <w:p w14:paraId="331D33D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1、常规病理检测：自接收标本之日起，内镜 / 穿刺小标本 3 个工作日内出具正式病理诊断报告；手术切除大体标本最长不超过5个工作日，节假日顺延须提前书面告知采购人。</w:t>
      </w:r>
    </w:p>
    <w:p w14:paraId="457F9AF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2、术中冰冻病理检测：接到采购人紧急送检通知后立即快速响应，标本签收核对无误后 30 分钟内出具术中初步冰冻诊断结果，24 小时内完成冰冻石蜡对照，并出具最终正式报告。</w:t>
      </w:r>
    </w:p>
    <w:p w14:paraId="06B4E3F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3、免疫组化、特殊染色项目：常规标本3–7个工作日内出具报告，多项联检可按上限 7 个工作日执行。</w:t>
      </w:r>
    </w:p>
    <w:p w14:paraId="4FDC91D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4、疑难病理会诊项目：7-10个工作日内出具正式报告，特殊复杂病例需提前与采购人沟通报备。</w:t>
      </w:r>
    </w:p>
    <w:p w14:paraId="0012C93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5、紧急特殊病例开通专项绿色通道，优先接收、优先制片、优先诊断出报告，全力保障临床急诊、术中紧急诊疗需求。</w:t>
      </w:r>
    </w:p>
    <w:p w14:paraId="172BD2D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6、供应商须建立完善病理危急值报告管理制度，检测中检出病理危急值结果，经双人复核确认后10 分钟内电话告知采购人对接科室，并在2 小时内出具书面/电子正式报告，完整留存危急值发现时间、复核人员、通知记录、临床反馈追踪台账，实现闭环管理。</w:t>
      </w:r>
    </w:p>
    <w:p w14:paraId="0EA8239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（四）标本采集与转运要求</w:t>
      </w:r>
    </w:p>
    <w:p w14:paraId="168FDC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1、供应商需提供标准化标本采集容器、固定液、送检耗材等，为采购人提供配套送检物资，保障标本采集规范。</w:t>
      </w:r>
    </w:p>
    <w:p w14:paraId="7A1A608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2、配备专业冷链转运设备及专职转运人员，建立固定标本转运机制，根据采购人需求每日定时上门收取标本，紧急标本随时上门收取。</w:t>
      </w:r>
    </w:p>
    <w:p w14:paraId="4D882B9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3、标本转运全程符合生物安全管理规范，严格落实标本保鲜、防污染、防破损、防丢失措施，全程可追溯，杜绝标本变质、损坏、交叉污染等问题，保障标本完整性与有效性。</w:t>
      </w:r>
    </w:p>
    <w:p w14:paraId="0CC42E2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（五）报告交付与售后技术服务</w:t>
      </w:r>
    </w:p>
    <w:p w14:paraId="06ED7D7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1、检测报告需格式规范、信息完整、诊断精准，加盖检测机构有效资质印章，提供纸质正式报告及电子报告，电子报告对接</w:t>
      </w:r>
      <w:r>
        <w:rPr>
          <w:rFonts w:hint="eastAsia" w:ascii="宋体" w:hAnsi="宋体" w:eastAsia="宋体" w:cs="宋体"/>
          <w:sz w:val="24"/>
          <w:szCs w:val="24"/>
          <w:lang w:val="en-US" w:eastAsia="zh-CN"/>
        </w:rPr>
        <w:t>采购人</w:t>
      </w:r>
      <w:r>
        <w:rPr>
          <w:rFonts w:hint="eastAsia" w:ascii="宋体" w:hAnsi="宋体" w:eastAsia="宋体" w:cs="宋体"/>
          <w:sz w:val="24"/>
          <w:szCs w:val="24"/>
        </w:rPr>
        <w:t>医院信息系统（LIS</w:t>
      </w:r>
      <w:r>
        <w:rPr>
          <w:rFonts w:hint="eastAsia" w:ascii="宋体" w:hAnsi="宋体" w:eastAsia="宋体" w:cs="宋体"/>
          <w:sz w:val="24"/>
          <w:szCs w:val="24"/>
          <w:lang w:val="en-US" w:eastAsia="zh-CN"/>
        </w:rPr>
        <w:t>/HIS</w:t>
      </w:r>
      <w:r>
        <w:rPr>
          <w:rFonts w:hint="eastAsia" w:ascii="宋体" w:hAnsi="宋体" w:eastAsia="宋体" w:cs="宋体"/>
          <w:sz w:val="24"/>
          <w:szCs w:val="24"/>
        </w:rPr>
        <w:t>），供应商需自行与系统厂商协商对接，</w:t>
      </w:r>
      <w:r>
        <w:rPr>
          <w:rFonts w:hint="eastAsia" w:ascii="宋体" w:hAnsi="宋体" w:eastAsia="宋体" w:cs="宋体"/>
          <w:sz w:val="24"/>
          <w:szCs w:val="24"/>
          <w:lang w:val="en-US" w:eastAsia="zh-CN"/>
        </w:rPr>
        <w:t>采购人</w:t>
      </w:r>
      <w:r>
        <w:rPr>
          <w:rFonts w:hint="eastAsia" w:ascii="宋体" w:hAnsi="宋体" w:eastAsia="宋体" w:cs="宋体"/>
          <w:sz w:val="24"/>
          <w:szCs w:val="24"/>
        </w:rPr>
        <w:t>提供必要配合。</w:t>
      </w:r>
    </w:p>
    <w:p w14:paraId="587390F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2、针对疑难病例，供应商需安排资深病理医师提供线上、线下会诊答疑服务，协助采购人临床医师解读报告、分析病例。</w:t>
      </w:r>
    </w:p>
    <w:p w14:paraId="171103C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3、建立24小时技术服务响应机制，针对报告疑问、检测异常、质控问题等，</w:t>
      </w:r>
      <w:r>
        <w:rPr>
          <w:rFonts w:hint="eastAsia" w:ascii="宋体" w:hAnsi="宋体" w:eastAsia="宋体" w:cs="宋体"/>
          <w:sz w:val="24"/>
          <w:szCs w:val="24"/>
          <w:lang w:val="en-US" w:eastAsia="zh-CN"/>
        </w:rPr>
        <w:t>2</w:t>
      </w:r>
      <w:r>
        <w:rPr>
          <w:rFonts w:hint="eastAsia" w:ascii="宋体" w:hAnsi="宋体" w:eastAsia="宋体" w:cs="宋体"/>
          <w:sz w:val="24"/>
          <w:szCs w:val="24"/>
        </w:rPr>
        <w:t>小时内响应，及时给出解决方案。</w:t>
      </w:r>
    </w:p>
    <w:p w14:paraId="1039657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4、为采购人提供病理技术培训、质控指导、业务咨询等配套服务，协助采购人提升病理诊疗业务能力。</w:t>
      </w:r>
    </w:p>
    <w:p w14:paraId="3ABDEAC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（六）数据安全与档案管理</w:t>
      </w:r>
    </w:p>
    <w:p w14:paraId="36DC2C7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1、严格遵守医疗数据安全、患者隐私保护相关法律法规，对送检标本信息、患者诊疗信息、检测数据严格保密，严禁泄露、篡改、违规使用相关数据。</w:t>
      </w:r>
    </w:p>
    <w:p w14:paraId="281803A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2、建立完善的标本、报告、数据档案管理制度，标本剩余样本、检测原始数据、报告底稿按行业规定期限归档留存，可随时调阅核查，满足医疗质控、医保核查、溯源追责需求。</w:t>
      </w:r>
    </w:p>
    <w:p w14:paraId="76A569D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br w:type="page"/>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七</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项目</w:t>
      </w:r>
      <w:r>
        <w:rPr>
          <w:rFonts w:hint="eastAsia" w:ascii="宋体" w:hAnsi="宋体" w:eastAsia="宋体" w:cs="宋体"/>
          <w:b/>
          <w:bCs/>
          <w:sz w:val="24"/>
          <w:szCs w:val="24"/>
        </w:rPr>
        <w:t>清单</w:t>
      </w:r>
    </w:p>
    <w:tbl>
      <w:tblPr>
        <w:tblStyle w:val="4"/>
        <w:tblW w:w="8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5"/>
        <w:gridCol w:w="6040"/>
        <w:gridCol w:w="1755"/>
      </w:tblGrid>
      <w:tr w14:paraId="6DF0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710C7218">
            <w:pPr>
              <w:keepNext w:val="0"/>
              <w:keepLines w:val="0"/>
              <w:pageBreakBefore w:val="0"/>
              <w:widowControl/>
              <w:suppressLineNumbers w:val="0"/>
              <w:tabs>
                <w:tab w:val="left" w:pos="474"/>
              </w:tabs>
              <w:kinsoku/>
              <w:wordWrap/>
              <w:overflowPunct/>
              <w:topLinePunct w:val="0"/>
              <w:autoSpaceDE/>
              <w:autoSpaceDN/>
              <w:bidi w:val="0"/>
              <w:snapToGrid/>
              <w:spacing w:line="46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41E8C5AD">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2EA6993">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04A73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1DB4011">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1722175C">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病理诊断费</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BE01F61">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次</w:t>
            </w:r>
          </w:p>
        </w:tc>
      </w:tr>
      <w:tr w14:paraId="679B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B273D80">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6A9B0865">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病理诊断费-术中冷冻病理诊断（加收）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2C54C6F">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次</w:t>
            </w:r>
          </w:p>
        </w:tc>
      </w:tr>
      <w:tr w14:paraId="58C6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982717C">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04F7AE2D">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病理诊断费（远程）</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4108592">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次</w:t>
            </w:r>
          </w:p>
        </w:tc>
      </w:tr>
      <w:tr w14:paraId="34272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4D488E6">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365DCEE8">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病理标本处理费（组织病理-常规）</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C308171">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每蜡块</w:t>
            </w:r>
          </w:p>
        </w:tc>
      </w:tr>
      <w:tr w14:paraId="20279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6D081C0">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0DF59CE2">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病理标本处理费（组织病理-常规）-限时处理（加收）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E772A82">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每蜡块</w:t>
            </w:r>
          </w:p>
        </w:tc>
      </w:tr>
      <w:tr w14:paraId="2A61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3700D59">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71C0D427">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病理标本处理费（组织病理-复杂）</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542F895">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每蜡块</w:t>
            </w:r>
          </w:p>
        </w:tc>
      </w:tr>
      <w:tr w14:paraId="299F4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920B015">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6040" w:type="dxa"/>
            <w:tcBorders>
              <w:top w:val="single" w:color="000000" w:sz="4" w:space="0"/>
              <w:left w:val="single" w:color="000000" w:sz="4" w:space="0"/>
              <w:bottom w:val="single" w:color="000000" w:sz="4" w:space="0"/>
              <w:right w:val="single" w:color="000000" w:sz="4" w:space="0"/>
            </w:tcBorders>
            <w:noWrap w:val="0"/>
            <w:vAlign w:val="center"/>
          </w:tcPr>
          <w:p w14:paraId="20A6FDB0">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病理标本处理费（细胞病理）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AEE1802">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每蜡块</w:t>
            </w:r>
          </w:p>
        </w:tc>
      </w:tr>
      <w:tr w14:paraId="4311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0ADC498D">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6815DA09">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病理标本处理费（电子显微镜病理）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36FB4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每切片</w:t>
            </w:r>
          </w:p>
        </w:tc>
      </w:tr>
      <w:tr w14:paraId="452D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3CE4B28">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43F75278">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病理标本处理费（冷冻标本）</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A4949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每组织块</w:t>
            </w:r>
          </w:p>
        </w:tc>
      </w:tr>
      <w:tr w14:paraId="3C8F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023D430C">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5E653370">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细胞病理蜡块制作费</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6FEED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每蜡块</w:t>
            </w:r>
          </w:p>
        </w:tc>
      </w:tr>
      <w:tr w14:paraId="0C54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20F07F4">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2243D4B7">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病理标本切片复制费</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84A9F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每切片</w:t>
            </w:r>
          </w:p>
        </w:tc>
      </w:tr>
      <w:tr w14:paraId="34ED4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4295D8C6">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60BF6880">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病理样本化学染色检查费</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41CA63A">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每切片</w:t>
            </w:r>
          </w:p>
        </w:tc>
      </w:tr>
      <w:tr w14:paraId="2AE5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BEFB5AD">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6040" w:type="dxa"/>
            <w:tcBorders>
              <w:top w:val="single" w:color="000000" w:sz="4" w:space="0"/>
              <w:left w:val="single" w:color="000000" w:sz="4" w:space="0"/>
              <w:bottom w:val="single" w:color="000000" w:sz="4" w:space="0"/>
              <w:right w:val="single" w:color="000000" w:sz="4" w:space="0"/>
            </w:tcBorders>
            <w:noWrap/>
            <w:vAlign w:val="center"/>
          </w:tcPr>
          <w:p w14:paraId="5AB1D98C">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病理样本免疫组织化学染色检查费（常规）</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63799DC">
            <w:pPr>
              <w:keepNext w:val="0"/>
              <w:keepLines w:val="0"/>
              <w:pageBreakBefore w:val="0"/>
              <w:widowControl/>
              <w:suppressLineNumbers w:val="0"/>
              <w:kinsoku/>
              <w:wordWrap/>
              <w:overflowPunct/>
              <w:topLinePunct w:val="0"/>
              <w:autoSpaceDE/>
              <w:autoSpaceDN/>
              <w:bidi w:val="0"/>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每切片</w:t>
            </w:r>
          </w:p>
        </w:tc>
      </w:tr>
    </w:tbl>
    <w:p w14:paraId="3C0872F6">
      <w:pPr>
        <w:pStyle w:val="3"/>
        <w:keepNext w:val="0"/>
        <w:keepLines w:val="0"/>
        <w:pageBreakBefore w:val="0"/>
        <w:kinsoku/>
        <w:wordWrap/>
        <w:overflowPunct/>
        <w:topLinePunct w:val="0"/>
        <w:autoSpaceDE/>
        <w:autoSpaceDN/>
        <w:bidi w:val="0"/>
        <w:snapToGrid/>
        <w:spacing w:line="460" w:lineRule="exact"/>
        <w:jc w:val="left"/>
        <w:rPr>
          <w:rFonts w:hint="eastAsia" w:ascii="宋体" w:hAnsi="宋体" w:eastAsia="宋体" w:cs="宋体"/>
          <w:sz w:val="24"/>
          <w:szCs w:val="24"/>
          <w:lang w:val="en-US" w:eastAsia="zh-CN"/>
        </w:rPr>
      </w:pPr>
      <w:r>
        <w:rPr>
          <w:rFonts w:hint="eastAsia" w:ascii="宋体" w:hAnsi="宋体" w:eastAsia="宋体" w:cs="宋体"/>
          <w:b/>
          <w:bCs/>
          <w:spacing w:val="-3"/>
          <w:sz w:val="24"/>
          <w:szCs w:val="24"/>
          <w:lang w:val="en-US" w:eastAsia="zh-CN"/>
        </w:rPr>
        <w:t>备注：1.清单中价格以赣医保字〔2026〕29号江西省医疗保障局关于规范整合病理类医疗服务价格项目里在昌省直医院价格收费标准为准；2.采购人如开展相应项目，则自动取消外送；3.本项目清单外临床新增常规外送项目，按</w:t>
      </w:r>
      <w:r>
        <w:rPr>
          <w:rFonts w:hint="eastAsia" w:ascii="宋体" w:hAnsi="宋体" w:eastAsia="宋体" w:cs="宋体"/>
          <w:b/>
          <w:bCs/>
          <w:strike w:val="0"/>
          <w:dstrike w:val="0"/>
          <w:color w:val="auto"/>
          <w:spacing w:val="-3"/>
          <w:sz w:val="24"/>
          <w:szCs w:val="24"/>
          <w:lang w:val="en-US" w:eastAsia="zh-CN"/>
        </w:rPr>
        <w:t>成交折扣</w:t>
      </w:r>
      <w:r>
        <w:rPr>
          <w:rFonts w:hint="eastAsia" w:ascii="宋体" w:hAnsi="宋体" w:eastAsia="宋体" w:cs="宋体"/>
          <w:b/>
          <w:bCs/>
          <w:spacing w:val="-3"/>
          <w:sz w:val="24"/>
          <w:szCs w:val="24"/>
          <w:lang w:val="en-US" w:eastAsia="zh-CN"/>
        </w:rPr>
        <w:t>价格计算，如特殊项目，价格另行协商。</w:t>
      </w:r>
    </w:p>
    <w:p w14:paraId="0EB44370">
      <w:r>
        <w:rPr>
          <w:rFonts w:hint="eastAsia" w:ascii="宋体" w:hAnsi="宋体" w:eastAsia="宋体" w:cs="宋体"/>
          <w:b/>
          <w:sz w:val="24"/>
        </w:rPr>
        <w:t>注：以上“技术要求”为实质性要求，必须完全满足，否则响应无效。</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084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
    <w:pPr>
      <w:keepNext/>
      <w:keepLines/>
      <w:spacing w:before="260" w:after="260" w:line="500" w:lineRule="exact"/>
      <w:jc w:val="center"/>
      <w:outlineLvl w:val="1"/>
    </w:pPr>
    <w:rPr>
      <w:rFonts w:ascii="Cambria" w:hAnsi="Cambria"/>
      <w:b/>
      <w:bCs/>
      <w:kern w:val="0"/>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99"/>
    <w:pPr>
      <w:autoSpaceDE w:val="0"/>
      <w:autoSpaceDN w:val="0"/>
      <w:adjustRightInd w:val="0"/>
      <w:jc w:val="center"/>
      <w:textAlignment w:val="baseline"/>
    </w:pPr>
    <w:rPr>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2026-09-16T06:43:54Z</dcterms:created>
  <dc:creator>Administrator</dc:creator>
  <cp:lastModifiedBy>Administrator</cp:lastModifiedBy>
  <dcterms:modified xsi:type="dcterms:W3CDTF">2026-09-16T06:44:46Z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eyJoZGlkIjoiMDE2YjU1YThhYzZjODYzZWNjNDQwMGM4MGQ5ODVhMzMiLCJ1c2VySWQiOiI1Mjc2MDU0NTkifQ==</vt:lpwstr>
  </property>
  <property fmtid="{D5CDD505-2E9C-101B-9397-08002B2CF9AE}" pid="4" name="ICV">
    <vt:lpwstr>0150B7EE8ABC4930ABD48E1499EAFC96_12</vt:lpwstr>
  </property>
</Properties>
</file>